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BC" w:rsidRPr="000A26CD" w:rsidRDefault="005F42BC" w:rsidP="005F42BC">
      <w:pPr>
        <w:spacing w:after="0" w:line="276" w:lineRule="auto"/>
        <w:jc w:val="center"/>
        <w:rPr>
          <w:rFonts w:cs="Arial"/>
          <w:b/>
          <w:sz w:val="32"/>
          <w:szCs w:val="32"/>
          <w:u w:val="single"/>
          <w:lang w:val="es-ES"/>
        </w:rPr>
      </w:pPr>
      <w:r w:rsidRPr="000A26CD">
        <w:rPr>
          <w:rFonts w:cs="Arial"/>
          <w:b/>
          <w:sz w:val="32"/>
          <w:szCs w:val="32"/>
          <w:u w:val="single"/>
          <w:lang w:val="es-ES"/>
        </w:rPr>
        <w:t>Malargüe Frente a Cambio Climático.</w:t>
      </w:r>
    </w:p>
    <w:p w:rsidR="005F42BC" w:rsidRPr="001E2FFE" w:rsidRDefault="005F42BC" w:rsidP="006D45BE">
      <w:pPr>
        <w:spacing w:after="0" w:line="276" w:lineRule="auto"/>
        <w:jc w:val="both"/>
        <w:rPr>
          <w:rFonts w:cs="Arial"/>
          <w:lang w:val="es-ES"/>
        </w:rPr>
      </w:pPr>
    </w:p>
    <w:p w:rsidR="00586630" w:rsidRPr="001E2FFE" w:rsidRDefault="005F42BC" w:rsidP="006D45BE">
      <w:pPr>
        <w:spacing w:after="0" w:line="276" w:lineRule="auto"/>
        <w:jc w:val="both"/>
        <w:rPr>
          <w:rFonts w:cs="Arial"/>
          <w:sz w:val="24"/>
          <w:szCs w:val="24"/>
          <w:lang w:val="es-ES"/>
        </w:rPr>
      </w:pPr>
      <w:r w:rsidRPr="001E2FFE">
        <w:rPr>
          <w:rFonts w:cs="Arial"/>
          <w:sz w:val="24"/>
          <w:szCs w:val="24"/>
          <w:lang w:val="es-ES"/>
        </w:rPr>
        <w:t>La Dirección de Obras Publicas y Ambiente a través de la Coordinación Ambiental, realizó la presentación al gabinete municipal,</w:t>
      </w:r>
      <w:r w:rsidR="00E529CD" w:rsidRPr="001E2FFE">
        <w:rPr>
          <w:rFonts w:cs="Arial"/>
          <w:sz w:val="24"/>
          <w:szCs w:val="24"/>
          <w:lang w:val="es-ES"/>
        </w:rPr>
        <w:t xml:space="preserve"> de </w:t>
      </w:r>
      <w:r w:rsidRPr="001E2FFE">
        <w:rPr>
          <w:rFonts w:cs="Arial"/>
          <w:sz w:val="24"/>
          <w:szCs w:val="24"/>
          <w:lang w:val="es-ES"/>
        </w:rPr>
        <w:t xml:space="preserve">las diferentes tareas que se desarrollaron </w:t>
      </w:r>
      <w:r w:rsidR="00E529CD" w:rsidRPr="001E2FFE">
        <w:rPr>
          <w:rFonts w:cs="Arial"/>
          <w:sz w:val="24"/>
          <w:szCs w:val="24"/>
          <w:lang w:val="es-ES"/>
        </w:rPr>
        <w:t xml:space="preserve">junto a </w:t>
      </w:r>
      <w:r w:rsidRPr="001E2FFE">
        <w:rPr>
          <w:rFonts w:cs="Arial"/>
          <w:sz w:val="24"/>
          <w:szCs w:val="24"/>
          <w:lang w:val="es-ES"/>
        </w:rPr>
        <w:t xml:space="preserve">la Red Argentina de Municipios frente al Cambio Climático (RAMCC). </w:t>
      </w:r>
    </w:p>
    <w:p w:rsidR="00E547CD" w:rsidRDefault="00E547CD" w:rsidP="006D45BE">
      <w:pPr>
        <w:spacing w:after="0" w:line="276" w:lineRule="auto"/>
        <w:jc w:val="both"/>
        <w:rPr>
          <w:rFonts w:cs="Arial"/>
          <w:sz w:val="24"/>
          <w:szCs w:val="24"/>
          <w:lang w:val="es-ES"/>
        </w:rPr>
      </w:pPr>
    </w:p>
    <w:p w:rsidR="00E529CD" w:rsidRDefault="00E529CD" w:rsidP="006D45BE">
      <w:pPr>
        <w:spacing w:after="0" w:line="276" w:lineRule="auto"/>
        <w:jc w:val="both"/>
        <w:rPr>
          <w:rFonts w:cs="Arial"/>
          <w:sz w:val="24"/>
          <w:szCs w:val="24"/>
          <w:lang w:val="es-ES"/>
        </w:rPr>
      </w:pPr>
      <w:r w:rsidRPr="001E2FFE">
        <w:rPr>
          <w:rFonts w:cs="Arial"/>
          <w:sz w:val="24"/>
          <w:szCs w:val="24"/>
          <w:lang w:val="es-ES"/>
        </w:rPr>
        <w:t>En dicha reunión s</w:t>
      </w:r>
      <w:r w:rsidR="005F42BC" w:rsidRPr="001E2FFE">
        <w:rPr>
          <w:rFonts w:cs="Arial"/>
          <w:sz w:val="24"/>
          <w:szCs w:val="24"/>
          <w:lang w:val="es-ES"/>
        </w:rPr>
        <w:t xml:space="preserve">e dieron a conocer los datos obtenidos </w:t>
      </w:r>
      <w:r w:rsidR="001F3A4B" w:rsidRPr="001E2FFE">
        <w:rPr>
          <w:rFonts w:cs="Arial"/>
          <w:sz w:val="24"/>
          <w:szCs w:val="24"/>
          <w:lang w:val="es-ES"/>
        </w:rPr>
        <w:t>en el</w:t>
      </w:r>
      <w:r w:rsidR="00F16ACE">
        <w:rPr>
          <w:rFonts w:cs="Arial"/>
          <w:sz w:val="24"/>
          <w:szCs w:val="24"/>
          <w:lang w:val="es-ES"/>
        </w:rPr>
        <w:t xml:space="preserve"> </w:t>
      </w:r>
      <w:r w:rsidR="00A80ED5" w:rsidRPr="001E2FFE">
        <w:rPr>
          <w:rFonts w:cs="Arial"/>
          <w:sz w:val="24"/>
          <w:szCs w:val="24"/>
          <w:lang w:val="es-ES"/>
        </w:rPr>
        <w:t xml:space="preserve">primer </w:t>
      </w:r>
      <w:r w:rsidR="005F42BC" w:rsidRPr="001E2FFE">
        <w:rPr>
          <w:rFonts w:cs="Arial"/>
          <w:sz w:val="24"/>
          <w:szCs w:val="24"/>
          <w:lang w:val="es-ES"/>
        </w:rPr>
        <w:t xml:space="preserve">inventario de Gases de Efecto Invernadero (G.E.I) y el Plan de Acción frente al cambio climático </w:t>
      </w:r>
      <w:r w:rsidR="00A80ED5" w:rsidRPr="001E2FFE">
        <w:rPr>
          <w:rFonts w:cs="Arial"/>
          <w:sz w:val="24"/>
          <w:szCs w:val="24"/>
          <w:lang w:val="es-ES"/>
        </w:rPr>
        <w:t xml:space="preserve">del departamento, </w:t>
      </w:r>
      <w:r w:rsidR="001F3A4B" w:rsidRPr="001E2FFE">
        <w:rPr>
          <w:rFonts w:cs="Arial"/>
          <w:sz w:val="24"/>
          <w:szCs w:val="24"/>
          <w:lang w:val="es-ES"/>
        </w:rPr>
        <w:t xml:space="preserve">evaluado y </w:t>
      </w:r>
      <w:r w:rsidRPr="001E2FFE">
        <w:rPr>
          <w:rFonts w:cs="Arial"/>
          <w:sz w:val="24"/>
          <w:szCs w:val="24"/>
          <w:lang w:val="es-ES"/>
        </w:rPr>
        <w:t>aprobado</w:t>
      </w:r>
      <w:r w:rsidR="00AE1AA3">
        <w:rPr>
          <w:rFonts w:cs="Arial"/>
          <w:sz w:val="24"/>
          <w:szCs w:val="24"/>
          <w:lang w:val="es-ES"/>
        </w:rPr>
        <w:t xml:space="preserve"> </w:t>
      </w:r>
      <w:r w:rsidRPr="001E2FFE">
        <w:rPr>
          <w:rFonts w:cs="Arial"/>
          <w:sz w:val="24"/>
          <w:szCs w:val="24"/>
          <w:lang w:val="es-ES"/>
        </w:rPr>
        <w:t xml:space="preserve">por la Global </w:t>
      </w:r>
      <w:proofErr w:type="spellStart"/>
      <w:r w:rsidRPr="001E2FFE">
        <w:rPr>
          <w:rFonts w:cs="Arial"/>
          <w:sz w:val="24"/>
          <w:szCs w:val="24"/>
          <w:lang w:val="es-ES"/>
        </w:rPr>
        <w:t>Convenant</w:t>
      </w:r>
      <w:proofErr w:type="spellEnd"/>
      <w:r w:rsidRPr="001E2FFE">
        <w:rPr>
          <w:rFonts w:cs="Arial"/>
          <w:sz w:val="24"/>
          <w:szCs w:val="24"/>
          <w:lang w:val="es-ES"/>
        </w:rPr>
        <w:t xml:space="preserve"> of </w:t>
      </w:r>
      <w:proofErr w:type="spellStart"/>
      <w:r w:rsidRPr="001E2FFE">
        <w:rPr>
          <w:rFonts w:cs="Arial"/>
          <w:sz w:val="24"/>
          <w:szCs w:val="24"/>
          <w:lang w:val="es-ES"/>
        </w:rPr>
        <w:t>Mayors</w:t>
      </w:r>
      <w:proofErr w:type="spellEnd"/>
      <w:r w:rsidRPr="001E2FFE">
        <w:rPr>
          <w:rFonts w:cs="Arial"/>
          <w:sz w:val="24"/>
          <w:szCs w:val="24"/>
          <w:lang w:val="es-ES"/>
        </w:rPr>
        <w:t xml:space="preserve"> (</w:t>
      </w:r>
      <w:r w:rsidR="006B0866" w:rsidRPr="00B03162">
        <w:rPr>
          <w:rFonts w:cs="Arial"/>
          <w:sz w:val="24"/>
          <w:szCs w:val="24"/>
          <w:lang w:val="es-ES"/>
        </w:rPr>
        <w:t>Pacto Global de Alcaldes por el</w:t>
      </w:r>
      <w:r w:rsidR="00AE1AA3">
        <w:rPr>
          <w:rFonts w:cs="Arial"/>
          <w:sz w:val="24"/>
          <w:szCs w:val="24"/>
          <w:lang w:val="es-ES"/>
        </w:rPr>
        <w:t xml:space="preserve"> </w:t>
      </w:r>
      <w:r w:rsidR="006B0866" w:rsidRPr="00B03162">
        <w:rPr>
          <w:rFonts w:cs="Arial"/>
          <w:sz w:val="24"/>
          <w:szCs w:val="24"/>
          <w:lang w:val="es-ES"/>
        </w:rPr>
        <w:t>Clima y la Energía</w:t>
      </w:r>
      <w:r w:rsidRPr="001E2FFE">
        <w:rPr>
          <w:rFonts w:cs="Arial"/>
          <w:sz w:val="24"/>
          <w:szCs w:val="24"/>
          <w:lang w:val="es-ES"/>
        </w:rPr>
        <w:t>)</w:t>
      </w:r>
      <w:r w:rsidR="001F3A4B" w:rsidRPr="001E2FFE">
        <w:rPr>
          <w:rFonts w:cs="Arial"/>
          <w:sz w:val="24"/>
          <w:szCs w:val="24"/>
          <w:lang w:val="es-ES"/>
        </w:rPr>
        <w:t>.</w:t>
      </w:r>
    </w:p>
    <w:p w:rsidR="00B03162" w:rsidRDefault="00B03162" w:rsidP="006D45BE">
      <w:pPr>
        <w:spacing w:after="0" w:line="276" w:lineRule="auto"/>
        <w:jc w:val="both"/>
        <w:rPr>
          <w:rFonts w:cs="Arial"/>
          <w:sz w:val="24"/>
          <w:szCs w:val="24"/>
          <w:lang w:val="es-ES"/>
        </w:rPr>
      </w:pPr>
    </w:p>
    <w:p w:rsidR="00B03162" w:rsidRPr="001E2FFE" w:rsidRDefault="00B03162" w:rsidP="00B03162">
      <w:pPr>
        <w:spacing w:after="0" w:line="276" w:lineRule="auto"/>
        <w:jc w:val="both"/>
        <w:rPr>
          <w:rFonts w:cs="Arial"/>
          <w:sz w:val="24"/>
          <w:szCs w:val="24"/>
          <w:lang w:val="es-ES"/>
        </w:rPr>
      </w:pPr>
      <w:r w:rsidRPr="00B03162">
        <w:rPr>
          <w:rFonts w:cs="Arial"/>
          <w:sz w:val="24"/>
          <w:szCs w:val="24"/>
          <w:lang w:val="es-ES"/>
        </w:rPr>
        <w:t xml:space="preserve">El Pacto Global de Alcaldes </w:t>
      </w:r>
      <w:bookmarkStart w:id="0" w:name="_GoBack"/>
      <w:bookmarkEnd w:id="0"/>
      <w:r w:rsidRPr="00B03162">
        <w:rPr>
          <w:rFonts w:cs="Arial"/>
          <w:sz w:val="24"/>
          <w:szCs w:val="24"/>
          <w:lang w:val="es-ES"/>
        </w:rPr>
        <w:t xml:space="preserve">conforma la más amplia coalición mundial </w:t>
      </w:r>
      <w:r>
        <w:rPr>
          <w:rFonts w:cs="Arial"/>
          <w:sz w:val="24"/>
          <w:szCs w:val="24"/>
          <w:lang w:val="es-ES"/>
        </w:rPr>
        <w:t>c</w:t>
      </w:r>
      <w:r w:rsidRPr="00B03162">
        <w:rPr>
          <w:rFonts w:cs="Arial"/>
          <w:sz w:val="24"/>
          <w:szCs w:val="24"/>
          <w:lang w:val="es-ES"/>
        </w:rPr>
        <w:t>omprometida con el</w:t>
      </w:r>
      <w:r w:rsidR="00AE1AA3">
        <w:rPr>
          <w:rFonts w:cs="Arial"/>
          <w:sz w:val="24"/>
          <w:szCs w:val="24"/>
          <w:lang w:val="es-ES"/>
        </w:rPr>
        <w:t xml:space="preserve"> </w:t>
      </w:r>
      <w:r w:rsidRPr="00B03162">
        <w:rPr>
          <w:rFonts w:cs="Arial"/>
          <w:sz w:val="24"/>
          <w:szCs w:val="24"/>
          <w:lang w:val="es-ES"/>
        </w:rPr>
        <w:t>liderazgo climático local, aprovechando el compromiso de más de 9.200 ciudades.</w:t>
      </w:r>
      <w:r w:rsidR="00AE1AA3">
        <w:rPr>
          <w:rFonts w:cs="Arial"/>
          <w:sz w:val="24"/>
          <w:szCs w:val="24"/>
          <w:lang w:val="es-ES"/>
        </w:rPr>
        <w:t xml:space="preserve"> </w:t>
      </w:r>
      <w:r w:rsidRPr="00B03162">
        <w:rPr>
          <w:rFonts w:cs="Arial"/>
          <w:sz w:val="24"/>
          <w:szCs w:val="24"/>
          <w:lang w:val="es-ES"/>
        </w:rPr>
        <w:t>Establece una plataforma común para captar el impacto de las acciones colectivas de</w:t>
      </w:r>
      <w:r w:rsidR="00AE1AA3">
        <w:rPr>
          <w:rFonts w:cs="Arial"/>
          <w:sz w:val="24"/>
          <w:szCs w:val="24"/>
          <w:lang w:val="es-ES"/>
        </w:rPr>
        <w:t xml:space="preserve"> </w:t>
      </w:r>
      <w:r w:rsidRPr="00B03162">
        <w:rPr>
          <w:rFonts w:cs="Arial"/>
          <w:sz w:val="24"/>
          <w:szCs w:val="24"/>
          <w:lang w:val="es-ES"/>
        </w:rPr>
        <w:t>las ciudades a través de la medición estandarizada de las emisiones y el riesgoclimático, y la presentación de informes públicos consistentes sobre sus esfuerzos.</w:t>
      </w:r>
    </w:p>
    <w:p w:rsidR="006D45BE" w:rsidRPr="001E2FFE" w:rsidRDefault="006D45BE" w:rsidP="006D45BE">
      <w:pPr>
        <w:spacing w:after="0" w:line="276" w:lineRule="auto"/>
        <w:jc w:val="both"/>
        <w:rPr>
          <w:rFonts w:cs="Arial"/>
          <w:sz w:val="24"/>
          <w:szCs w:val="24"/>
          <w:lang w:val="es-ES"/>
        </w:rPr>
      </w:pPr>
    </w:p>
    <w:p w:rsidR="00577D3D" w:rsidRDefault="006D45BE" w:rsidP="00E547CD">
      <w:pPr>
        <w:spacing w:after="0" w:line="276" w:lineRule="auto"/>
        <w:jc w:val="both"/>
        <w:rPr>
          <w:rFonts w:cs="Arial"/>
          <w:sz w:val="24"/>
          <w:szCs w:val="24"/>
          <w:lang w:val="es-ES"/>
        </w:rPr>
      </w:pPr>
      <w:r w:rsidRPr="001E2FFE">
        <w:rPr>
          <w:rFonts w:cs="Arial"/>
          <w:sz w:val="24"/>
          <w:szCs w:val="24"/>
          <w:lang w:val="es-ES"/>
        </w:rPr>
        <w:t xml:space="preserve">El inventario de GEI </w:t>
      </w:r>
      <w:r w:rsidR="00E547CD">
        <w:rPr>
          <w:rFonts w:cs="Arial"/>
          <w:sz w:val="24"/>
          <w:szCs w:val="24"/>
          <w:lang w:val="es-ES"/>
        </w:rPr>
        <w:t>se confeccionó</w:t>
      </w:r>
      <w:r w:rsidRPr="001E2FFE">
        <w:rPr>
          <w:rFonts w:cs="Arial"/>
          <w:sz w:val="24"/>
          <w:szCs w:val="24"/>
          <w:lang w:val="es-ES"/>
        </w:rPr>
        <w:t xml:space="preserve">con datos base del año 2014, </w:t>
      </w:r>
      <w:r w:rsidR="00B70293" w:rsidRPr="001E2FFE">
        <w:rPr>
          <w:rFonts w:cs="Arial"/>
          <w:sz w:val="24"/>
          <w:szCs w:val="24"/>
          <w:lang w:val="es-ES"/>
        </w:rPr>
        <w:t xml:space="preserve">el cual </w:t>
      </w:r>
      <w:r w:rsidRPr="001E2FFE">
        <w:rPr>
          <w:rFonts w:cs="Arial"/>
          <w:sz w:val="24"/>
          <w:szCs w:val="24"/>
          <w:lang w:val="es-ES"/>
        </w:rPr>
        <w:t>arroj</w:t>
      </w:r>
      <w:r w:rsidR="00E547CD">
        <w:rPr>
          <w:rFonts w:cs="Arial"/>
          <w:sz w:val="24"/>
          <w:szCs w:val="24"/>
          <w:lang w:val="es-ES"/>
        </w:rPr>
        <w:t>ó</w:t>
      </w:r>
      <w:r w:rsidRPr="001E2FFE">
        <w:rPr>
          <w:rFonts w:cs="Arial"/>
          <w:sz w:val="24"/>
          <w:szCs w:val="24"/>
          <w:lang w:val="es-ES"/>
        </w:rPr>
        <w:t xml:space="preserve"> un total de 410.615,22 </w:t>
      </w:r>
      <w:proofErr w:type="spellStart"/>
      <w:r w:rsidRPr="001E2FFE">
        <w:rPr>
          <w:rFonts w:cs="Arial"/>
          <w:sz w:val="24"/>
          <w:szCs w:val="24"/>
          <w:lang w:val="es-ES"/>
        </w:rPr>
        <w:t>T</w:t>
      </w:r>
      <w:r w:rsidR="00B70293" w:rsidRPr="001E2FFE">
        <w:rPr>
          <w:rFonts w:cs="Arial"/>
          <w:sz w:val="24"/>
          <w:szCs w:val="24"/>
          <w:lang w:val="es-ES"/>
        </w:rPr>
        <w:t>n</w:t>
      </w:r>
      <w:proofErr w:type="spellEnd"/>
      <w:r w:rsidRPr="001E2FFE">
        <w:rPr>
          <w:rFonts w:cs="Arial"/>
          <w:sz w:val="24"/>
          <w:szCs w:val="24"/>
          <w:lang w:val="es-ES"/>
        </w:rPr>
        <w:t xml:space="preserve"> de CO</w:t>
      </w:r>
      <w:r w:rsidR="00AF394F" w:rsidRPr="001E2FFE">
        <w:rPr>
          <w:rFonts w:cs="Arial"/>
          <w:sz w:val="24"/>
          <w:szCs w:val="24"/>
          <w:vertAlign w:val="subscript"/>
          <w:lang w:val="es-ES"/>
        </w:rPr>
        <w:t>2</w:t>
      </w:r>
      <w:r w:rsidR="00AF394F" w:rsidRPr="001E2FFE">
        <w:rPr>
          <w:rFonts w:cs="Arial"/>
          <w:sz w:val="24"/>
          <w:szCs w:val="24"/>
          <w:lang w:val="es-ES"/>
        </w:rPr>
        <w:t xml:space="preserve">e </w:t>
      </w:r>
      <w:r w:rsidR="00E547CD">
        <w:rPr>
          <w:rFonts w:cs="Arial"/>
          <w:sz w:val="24"/>
          <w:szCs w:val="24"/>
          <w:lang w:val="es-ES"/>
        </w:rPr>
        <w:t xml:space="preserve"> (Dióxido de carbono equivalente), </w:t>
      </w:r>
      <w:r w:rsidR="00AF394F" w:rsidRPr="001E2FFE">
        <w:rPr>
          <w:rFonts w:cs="Arial"/>
          <w:sz w:val="24"/>
          <w:szCs w:val="24"/>
          <w:lang w:val="es-ES"/>
        </w:rPr>
        <w:t>reporte bajo estándar</w:t>
      </w:r>
      <w:r w:rsidR="00E547CD">
        <w:rPr>
          <w:rFonts w:cs="Arial"/>
          <w:sz w:val="24"/>
          <w:szCs w:val="24"/>
          <w:lang w:val="es-ES"/>
        </w:rPr>
        <w:t xml:space="preserve"> del </w:t>
      </w:r>
      <w:r w:rsidR="00E547CD" w:rsidRPr="00E547CD">
        <w:rPr>
          <w:rFonts w:cs="Arial"/>
          <w:sz w:val="24"/>
          <w:szCs w:val="24"/>
          <w:lang w:val="es-ES"/>
        </w:rPr>
        <w:t>Protocolo Global para Inventarios de Emisión de Gasesde Efecto Invernadero a Escala Comunitaria</w:t>
      </w:r>
      <w:r w:rsidR="00B70293" w:rsidRPr="001E2FFE">
        <w:rPr>
          <w:rFonts w:cs="Arial"/>
          <w:sz w:val="24"/>
          <w:szCs w:val="24"/>
          <w:lang w:val="es-ES"/>
        </w:rPr>
        <w:t xml:space="preserve">. </w:t>
      </w:r>
    </w:p>
    <w:p w:rsidR="00AE1AA3" w:rsidRDefault="00AE1AA3" w:rsidP="00E547CD">
      <w:pPr>
        <w:spacing w:after="0" w:line="276" w:lineRule="auto"/>
        <w:jc w:val="both"/>
        <w:rPr>
          <w:rFonts w:cs="Arial"/>
          <w:sz w:val="24"/>
          <w:szCs w:val="24"/>
          <w:lang w:val="es-ES"/>
        </w:rPr>
      </w:pPr>
    </w:p>
    <w:p w:rsidR="006D45BE" w:rsidRPr="001E2FFE" w:rsidRDefault="00577D3D" w:rsidP="00E547CD">
      <w:pPr>
        <w:spacing w:after="0" w:line="276" w:lineRule="auto"/>
        <w:jc w:val="both"/>
        <w:rPr>
          <w:rFonts w:cs="Arial"/>
          <w:sz w:val="24"/>
          <w:szCs w:val="24"/>
          <w:lang w:val="es-ES"/>
        </w:rPr>
      </w:pPr>
      <w:r w:rsidRPr="00AE1AA3">
        <w:rPr>
          <w:rFonts w:cs="Arial"/>
          <w:sz w:val="24"/>
          <w:szCs w:val="24"/>
          <w:lang w:val="es-ES"/>
        </w:rPr>
        <w:t>En la siguiente tabla se muestran las</w:t>
      </w:r>
      <w:r w:rsidR="00B70293" w:rsidRPr="00AE1AA3">
        <w:rPr>
          <w:rFonts w:cs="Arial"/>
          <w:sz w:val="24"/>
          <w:szCs w:val="24"/>
          <w:lang w:val="es-ES"/>
        </w:rPr>
        <w:t xml:space="preserve"> emisiones por categoría en </w:t>
      </w:r>
      <w:proofErr w:type="spellStart"/>
      <w:r w:rsidR="00F24955" w:rsidRPr="00AE1AA3">
        <w:rPr>
          <w:rFonts w:cs="Arial"/>
          <w:sz w:val="24"/>
          <w:szCs w:val="24"/>
          <w:lang w:val="es-ES"/>
        </w:rPr>
        <w:t>Tn</w:t>
      </w:r>
      <w:proofErr w:type="spellEnd"/>
      <w:r w:rsidR="00AE1AA3" w:rsidRPr="00AE1AA3">
        <w:rPr>
          <w:rFonts w:cs="Arial"/>
          <w:sz w:val="24"/>
          <w:szCs w:val="24"/>
          <w:lang w:val="es-ES"/>
        </w:rPr>
        <w:t xml:space="preserve"> </w:t>
      </w:r>
      <w:r w:rsidR="00B70293" w:rsidRPr="00AE1AA3">
        <w:rPr>
          <w:rFonts w:cs="Arial"/>
          <w:sz w:val="24"/>
          <w:szCs w:val="24"/>
          <w:lang w:val="es-ES"/>
        </w:rPr>
        <w:t>de CO</w:t>
      </w:r>
      <w:r w:rsidR="00B70293" w:rsidRPr="00AE1AA3">
        <w:rPr>
          <w:rFonts w:cs="Arial"/>
          <w:sz w:val="24"/>
          <w:szCs w:val="24"/>
          <w:vertAlign w:val="subscript"/>
          <w:lang w:val="es-ES"/>
        </w:rPr>
        <w:t>2</w:t>
      </w:r>
      <w:r w:rsidR="00B70293" w:rsidRPr="00AE1AA3">
        <w:rPr>
          <w:rFonts w:cs="Arial"/>
          <w:sz w:val="24"/>
          <w:szCs w:val="24"/>
          <w:lang w:val="es-ES"/>
        </w:rPr>
        <w:t>e</w:t>
      </w:r>
      <w:r w:rsidRPr="00AE1AA3">
        <w:rPr>
          <w:rFonts w:cs="Arial"/>
          <w:sz w:val="24"/>
          <w:szCs w:val="24"/>
          <w:lang w:val="es-ES"/>
        </w:rPr>
        <w:t xml:space="preserve"> para el Departamento de Malargüe</w:t>
      </w:r>
      <w:r w:rsidR="00B70293" w:rsidRPr="00AE1AA3">
        <w:rPr>
          <w:rFonts w:cs="Arial"/>
          <w:sz w:val="24"/>
          <w:szCs w:val="24"/>
          <w:lang w:val="es-ES"/>
        </w:rPr>
        <w:t>.</w:t>
      </w:r>
    </w:p>
    <w:p w:rsidR="00B70293" w:rsidRDefault="00B70293" w:rsidP="006D45BE">
      <w:pPr>
        <w:spacing w:after="0" w:line="276" w:lineRule="auto"/>
        <w:jc w:val="both"/>
        <w:rPr>
          <w:rFonts w:ascii="Arial" w:hAnsi="Arial" w:cs="Arial"/>
          <w:lang w:val="es-ES"/>
        </w:rPr>
      </w:pPr>
    </w:p>
    <w:tbl>
      <w:tblPr>
        <w:tblStyle w:val="Tablaconcuadrcula"/>
        <w:tblW w:w="0" w:type="auto"/>
        <w:jc w:val="center"/>
        <w:tblInd w:w="2352" w:type="dxa"/>
        <w:tblLook w:val="04A0"/>
      </w:tblPr>
      <w:tblGrid>
        <w:gridCol w:w="623"/>
        <w:gridCol w:w="3211"/>
        <w:gridCol w:w="2359"/>
        <w:gridCol w:w="2137"/>
      </w:tblGrid>
      <w:tr w:rsidR="00B53F8E" w:rsidTr="00B53F8E">
        <w:trPr>
          <w:trHeight w:val="353"/>
          <w:jc w:val="center"/>
        </w:trPr>
        <w:tc>
          <w:tcPr>
            <w:tcW w:w="623" w:type="dxa"/>
            <w:tcBorders>
              <w:top w:val="single" w:sz="18" w:space="0" w:color="auto"/>
              <w:left w:val="single" w:sz="18" w:space="0" w:color="auto"/>
              <w:bottom w:val="single" w:sz="18" w:space="0" w:color="auto"/>
              <w:right w:val="single" w:sz="18" w:space="0" w:color="auto"/>
            </w:tcBorders>
          </w:tcPr>
          <w:p w:rsidR="00B53F8E" w:rsidRPr="00B53F8E" w:rsidRDefault="00B53F8E" w:rsidP="00B53F8E">
            <w:pPr>
              <w:spacing w:after="0" w:line="240" w:lineRule="auto"/>
              <w:jc w:val="center"/>
              <w:rPr>
                <w:rFonts w:cs="Arial"/>
                <w:b/>
                <w:sz w:val="24"/>
                <w:szCs w:val="24"/>
                <w:lang w:val="es-ES"/>
              </w:rPr>
            </w:pPr>
            <w:r w:rsidRPr="00B53F8E">
              <w:rPr>
                <w:rFonts w:cs="Arial"/>
                <w:b/>
                <w:sz w:val="24"/>
                <w:szCs w:val="24"/>
                <w:lang w:val="es-ES"/>
              </w:rPr>
              <w:t>Nº</w:t>
            </w:r>
          </w:p>
        </w:tc>
        <w:tc>
          <w:tcPr>
            <w:tcW w:w="3211" w:type="dxa"/>
            <w:tcBorders>
              <w:top w:val="single" w:sz="18" w:space="0" w:color="auto"/>
              <w:left w:val="single" w:sz="18" w:space="0" w:color="auto"/>
              <w:bottom w:val="single" w:sz="18" w:space="0" w:color="auto"/>
              <w:right w:val="single" w:sz="18" w:space="0" w:color="auto"/>
            </w:tcBorders>
          </w:tcPr>
          <w:p w:rsidR="00B53F8E" w:rsidRPr="00B53F8E" w:rsidRDefault="00B53F8E" w:rsidP="001E2FFE">
            <w:pPr>
              <w:spacing w:after="0" w:line="240" w:lineRule="auto"/>
              <w:jc w:val="center"/>
              <w:rPr>
                <w:rFonts w:cs="Arial"/>
                <w:b/>
                <w:sz w:val="24"/>
                <w:szCs w:val="24"/>
                <w:lang w:val="es-ES"/>
              </w:rPr>
            </w:pPr>
            <w:r w:rsidRPr="00B53F8E">
              <w:rPr>
                <w:rFonts w:cs="Arial"/>
                <w:b/>
                <w:sz w:val="24"/>
                <w:szCs w:val="24"/>
                <w:lang w:val="es-ES"/>
              </w:rPr>
              <w:t>CATEGORIAS</w:t>
            </w:r>
          </w:p>
        </w:tc>
        <w:tc>
          <w:tcPr>
            <w:tcW w:w="2359" w:type="dxa"/>
            <w:tcBorders>
              <w:top w:val="single" w:sz="18" w:space="0" w:color="auto"/>
              <w:left w:val="single" w:sz="18" w:space="0" w:color="auto"/>
              <w:bottom w:val="single" w:sz="18" w:space="0" w:color="auto"/>
              <w:right w:val="single" w:sz="18" w:space="0" w:color="auto"/>
            </w:tcBorders>
          </w:tcPr>
          <w:p w:rsidR="00B53F8E" w:rsidRPr="00B53F8E" w:rsidRDefault="00B53F8E" w:rsidP="001E2FFE">
            <w:pPr>
              <w:spacing w:after="0" w:line="240" w:lineRule="auto"/>
              <w:jc w:val="center"/>
              <w:rPr>
                <w:rFonts w:cs="Arial"/>
                <w:b/>
                <w:sz w:val="24"/>
                <w:szCs w:val="24"/>
                <w:lang w:val="es-ES"/>
              </w:rPr>
            </w:pPr>
            <w:r w:rsidRPr="00B53F8E">
              <w:rPr>
                <w:rFonts w:cs="Arial"/>
                <w:b/>
                <w:sz w:val="24"/>
                <w:szCs w:val="24"/>
                <w:lang w:val="es-ES"/>
              </w:rPr>
              <w:t>EMISIONES</w:t>
            </w:r>
          </w:p>
        </w:tc>
        <w:tc>
          <w:tcPr>
            <w:tcW w:w="2137" w:type="dxa"/>
            <w:tcBorders>
              <w:top w:val="single" w:sz="18" w:space="0" w:color="auto"/>
              <w:left w:val="single" w:sz="18" w:space="0" w:color="auto"/>
              <w:bottom w:val="single" w:sz="18" w:space="0" w:color="auto"/>
              <w:right w:val="single" w:sz="18" w:space="0" w:color="auto"/>
            </w:tcBorders>
          </w:tcPr>
          <w:p w:rsidR="00B53F8E" w:rsidRPr="00B53F8E" w:rsidRDefault="00B53F8E" w:rsidP="001E2FFE">
            <w:pPr>
              <w:spacing w:after="0" w:line="240" w:lineRule="auto"/>
              <w:jc w:val="center"/>
              <w:rPr>
                <w:rFonts w:cs="Arial"/>
                <w:b/>
                <w:sz w:val="24"/>
                <w:szCs w:val="24"/>
                <w:lang w:val="es-ES"/>
              </w:rPr>
            </w:pPr>
            <w:r w:rsidRPr="00B53F8E">
              <w:rPr>
                <w:rFonts w:cs="Arial"/>
                <w:b/>
                <w:sz w:val="24"/>
                <w:szCs w:val="24"/>
                <w:lang w:val="es-ES"/>
              </w:rPr>
              <w:t>PORCENTAJE</w:t>
            </w:r>
          </w:p>
        </w:tc>
      </w:tr>
      <w:tr w:rsidR="00B53F8E" w:rsidTr="00B53F8E">
        <w:trPr>
          <w:trHeight w:val="414"/>
          <w:jc w:val="center"/>
        </w:trPr>
        <w:tc>
          <w:tcPr>
            <w:tcW w:w="623" w:type="dxa"/>
            <w:tcBorders>
              <w:top w:val="single" w:sz="18" w:space="0" w:color="auto"/>
              <w:left w:val="single" w:sz="18" w:space="0" w:color="auto"/>
              <w:right w:val="single" w:sz="18" w:space="0" w:color="auto"/>
            </w:tcBorders>
          </w:tcPr>
          <w:p w:rsidR="00B53F8E" w:rsidRPr="001E2FFE" w:rsidRDefault="00B53F8E" w:rsidP="00B53F8E">
            <w:pPr>
              <w:spacing w:after="0" w:line="276" w:lineRule="auto"/>
              <w:jc w:val="center"/>
              <w:rPr>
                <w:rFonts w:cs="Arial"/>
                <w:sz w:val="24"/>
                <w:szCs w:val="24"/>
                <w:lang w:val="es-ES"/>
              </w:rPr>
            </w:pPr>
            <w:r>
              <w:rPr>
                <w:rFonts w:cs="Arial"/>
                <w:sz w:val="24"/>
                <w:szCs w:val="24"/>
                <w:lang w:val="es-ES"/>
              </w:rPr>
              <w:t>1</w:t>
            </w:r>
          </w:p>
        </w:tc>
        <w:tc>
          <w:tcPr>
            <w:tcW w:w="3211" w:type="dxa"/>
            <w:tcBorders>
              <w:top w:val="single" w:sz="18" w:space="0" w:color="auto"/>
              <w:left w:val="single" w:sz="18" w:space="0" w:color="auto"/>
              <w:right w:val="single" w:sz="18" w:space="0" w:color="auto"/>
            </w:tcBorders>
          </w:tcPr>
          <w:p w:rsidR="00B53F8E" w:rsidRPr="001E2FFE" w:rsidRDefault="00B53F8E" w:rsidP="006D45BE">
            <w:pPr>
              <w:spacing w:after="0" w:line="276" w:lineRule="auto"/>
              <w:jc w:val="both"/>
              <w:rPr>
                <w:rFonts w:cs="Arial"/>
                <w:sz w:val="24"/>
                <w:szCs w:val="24"/>
                <w:lang w:val="es-ES"/>
              </w:rPr>
            </w:pPr>
            <w:r w:rsidRPr="001E2FFE">
              <w:rPr>
                <w:rFonts w:cs="Arial"/>
                <w:sz w:val="24"/>
                <w:szCs w:val="24"/>
                <w:lang w:val="es-ES"/>
              </w:rPr>
              <w:t>ENERGIA</w:t>
            </w:r>
            <w:r>
              <w:rPr>
                <w:rFonts w:cs="Arial"/>
                <w:sz w:val="24"/>
                <w:szCs w:val="24"/>
                <w:lang w:val="es-ES"/>
              </w:rPr>
              <w:t>.</w:t>
            </w:r>
          </w:p>
        </w:tc>
        <w:tc>
          <w:tcPr>
            <w:tcW w:w="2359" w:type="dxa"/>
            <w:tcBorders>
              <w:top w:val="single" w:sz="18" w:space="0" w:color="auto"/>
              <w:left w:val="single" w:sz="18" w:space="0" w:color="auto"/>
              <w:right w:val="single" w:sz="18" w:space="0" w:color="auto"/>
            </w:tcBorders>
          </w:tcPr>
          <w:p w:rsidR="00B53F8E" w:rsidRPr="001E2FFE" w:rsidRDefault="001F5D29" w:rsidP="00F24955">
            <w:pPr>
              <w:spacing w:after="0" w:line="276" w:lineRule="auto"/>
              <w:jc w:val="center"/>
              <w:rPr>
                <w:rFonts w:cs="Arial"/>
                <w:sz w:val="24"/>
                <w:szCs w:val="24"/>
                <w:lang w:val="es-ES"/>
              </w:rPr>
            </w:pPr>
            <w:r>
              <w:rPr>
                <w:rFonts w:cs="Arial"/>
                <w:sz w:val="24"/>
                <w:szCs w:val="24"/>
                <w:lang w:val="es-ES"/>
              </w:rPr>
              <w:t>7758</w:t>
            </w:r>
            <w:r w:rsidR="00F24955">
              <w:rPr>
                <w:rFonts w:cs="Arial"/>
                <w:sz w:val="24"/>
                <w:szCs w:val="24"/>
                <w:lang w:val="es-ES"/>
              </w:rPr>
              <w:t>0Tn</w:t>
            </w:r>
            <w:r w:rsidR="00B53F8E" w:rsidRPr="001E2FFE">
              <w:rPr>
                <w:rFonts w:cs="Arial"/>
                <w:sz w:val="24"/>
                <w:szCs w:val="24"/>
                <w:lang w:val="es-ES"/>
              </w:rPr>
              <w:t xml:space="preserve"> CO</w:t>
            </w:r>
            <w:r w:rsidR="00B53F8E" w:rsidRPr="001E2FFE">
              <w:rPr>
                <w:rFonts w:cs="Arial"/>
                <w:sz w:val="24"/>
                <w:szCs w:val="24"/>
                <w:vertAlign w:val="subscript"/>
                <w:lang w:val="es-ES"/>
              </w:rPr>
              <w:t>2</w:t>
            </w:r>
            <w:r w:rsidR="00B53F8E" w:rsidRPr="001E2FFE">
              <w:rPr>
                <w:rFonts w:cs="Arial"/>
                <w:sz w:val="24"/>
                <w:szCs w:val="24"/>
                <w:lang w:val="es-ES"/>
              </w:rPr>
              <w:t>e</w:t>
            </w:r>
          </w:p>
        </w:tc>
        <w:tc>
          <w:tcPr>
            <w:tcW w:w="2137" w:type="dxa"/>
            <w:tcBorders>
              <w:top w:val="single" w:sz="18" w:space="0" w:color="auto"/>
              <w:left w:val="single" w:sz="18" w:space="0" w:color="auto"/>
              <w:right w:val="single" w:sz="18" w:space="0" w:color="auto"/>
            </w:tcBorders>
          </w:tcPr>
          <w:p w:rsidR="00B53F8E" w:rsidRPr="001E2FFE" w:rsidRDefault="00B53F8E" w:rsidP="00B70293">
            <w:pPr>
              <w:spacing w:after="0" w:line="276" w:lineRule="auto"/>
              <w:jc w:val="center"/>
              <w:rPr>
                <w:rFonts w:cs="Arial"/>
                <w:sz w:val="24"/>
                <w:szCs w:val="24"/>
                <w:lang w:val="es-ES"/>
              </w:rPr>
            </w:pPr>
            <w:r w:rsidRPr="001E2FFE">
              <w:rPr>
                <w:rFonts w:cs="Arial"/>
                <w:sz w:val="24"/>
                <w:szCs w:val="24"/>
                <w:lang w:val="es-ES"/>
              </w:rPr>
              <w:t>18,89%</w:t>
            </w:r>
          </w:p>
        </w:tc>
      </w:tr>
      <w:tr w:rsidR="00B53F8E" w:rsidTr="00B53F8E">
        <w:trPr>
          <w:trHeight w:val="394"/>
          <w:jc w:val="center"/>
        </w:trPr>
        <w:tc>
          <w:tcPr>
            <w:tcW w:w="623" w:type="dxa"/>
            <w:tcBorders>
              <w:left w:val="single" w:sz="18" w:space="0" w:color="auto"/>
              <w:right w:val="single" w:sz="18" w:space="0" w:color="auto"/>
            </w:tcBorders>
          </w:tcPr>
          <w:p w:rsidR="00B53F8E" w:rsidRPr="001E2FFE" w:rsidRDefault="00B53F8E" w:rsidP="00B53F8E">
            <w:pPr>
              <w:spacing w:after="0" w:line="276" w:lineRule="auto"/>
              <w:jc w:val="center"/>
              <w:rPr>
                <w:rFonts w:cs="Arial"/>
                <w:sz w:val="24"/>
                <w:szCs w:val="24"/>
                <w:lang w:val="es-ES"/>
              </w:rPr>
            </w:pPr>
            <w:r>
              <w:rPr>
                <w:rFonts w:cs="Arial"/>
                <w:sz w:val="24"/>
                <w:szCs w:val="24"/>
                <w:lang w:val="es-ES"/>
              </w:rPr>
              <w:t>2</w:t>
            </w:r>
          </w:p>
        </w:tc>
        <w:tc>
          <w:tcPr>
            <w:tcW w:w="3211" w:type="dxa"/>
            <w:tcBorders>
              <w:left w:val="single" w:sz="18" w:space="0" w:color="auto"/>
              <w:right w:val="single" w:sz="18" w:space="0" w:color="auto"/>
            </w:tcBorders>
          </w:tcPr>
          <w:p w:rsidR="00B53F8E" w:rsidRPr="001E2FFE" w:rsidRDefault="00B53F8E" w:rsidP="006D45BE">
            <w:pPr>
              <w:spacing w:after="0" w:line="276" w:lineRule="auto"/>
              <w:jc w:val="both"/>
              <w:rPr>
                <w:rFonts w:cs="Arial"/>
                <w:sz w:val="24"/>
                <w:szCs w:val="24"/>
                <w:lang w:val="es-ES"/>
              </w:rPr>
            </w:pPr>
            <w:r w:rsidRPr="001E2FFE">
              <w:rPr>
                <w:rFonts w:cs="Arial"/>
                <w:sz w:val="24"/>
                <w:szCs w:val="24"/>
                <w:lang w:val="es-ES"/>
              </w:rPr>
              <w:t>TRANSPORTE</w:t>
            </w:r>
            <w:r>
              <w:rPr>
                <w:rFonts w:cs="Arial"/>
                <w:sz w:val="24"/>
                <w:szCs w:val="24"/>
                <w:lang w:val="es-ES"/>
              </w:rPr>
              <w:t>.</w:t>
            </w:r>
          </w:p>
        </w:tc>
        <w:tc>
          <w:tcPr>
            <w:tcW w:w="2359" w:type="dxa"/>
            <w:tcBorders>
              <w:left w:val="single" w:sz="18" w:space="0" w:color="auto"/>
              <w:right w:val="single" w:sz="18" w:space="0" w:color="auto"/>
            </w:tcBorders>
          </w:tcPr>
          <w:p w:rsidR="00B53F8E" w:rsidRPr="001E2FFE" w:rsidRDefault="00F24955" w:rsidP="00B70293">
            <w:pPr>
              <w:spacing w:after="0" w:line="276" w:lineRule="auto"/>
              <w:jc w:val="center"/>
              <w:rPr>
                <w:rFonts w:cs="Arial"/>
                <w:sz w:val="24"/>
                <w:szCs w:val="24"/>
                <w:lang w:val="es-ES"/>
              </w:rPr>
            </w:pPr>
            <w:r>
              <w:rPr>
                <w:rFonts w:cs="Arial"/>
                <w:sz w:val="24"/>
                <w:szCs w:val="24"/>
                <w:lang w:val="es-ES"/>
              </w:rPr>
              <w:t>44</w:t>
            </w:r>
            <w:r w:rsidR="00B53F8E" w:rsidRPr="001E2FFE">
              <w:rPr>
                <w:rFonts w:cs="Arial"/>
                <w:sz w:val="24"/>
                <w:szCs w:val="24"/>
                <w:lang w:val="es-ES"/>
              </w:rPr>
              <w:t>04</w:t>
            </w:r>
            <w:r>
              <w:rPr>
                <w:rFonts w:cs="Arial"/>
                <w:sz w:val="24"/>
                <w:szCs w:val="24"/>
                <w:lang w:val="es-ES"/>
              </w:rPr>
              <w:t xml:space="preserve">0 </w:t>
            </w:r>
            <w:proofErr w:type="spellStart"/>
            <w:r>
              <w:rPr>
                <w:rFonts w:cs="Arial"/>
                <w:sz w:val="24"/>
                <w:szCs w:val="24"/>
                <w:lang w:val="es-ES"/>
              </w:rPr>
              <w:t>Tn</w:t>
            </w:r>
            <w:proofErr w:type="spellEnd"/>
            <w:r w:rsidR="00B53F8E" w:rsidRPr="001E2FFE">
              <w:rPr>
                <w:rFonts w:cs="Arial"/>
                <w:sz w:val="24"/>
                <w:szCs w:val="24"/>
                <w:lang w:val="es-ES"/>
              </w:rPr>
              <w:t xml:space="preserve"> CO</w:t>
            </w:r>
            <w:r w:rsidR="00B53F8E" w:rsidRPr="001E2FFE">
              <w:rPr>
                <w:rFonts w:cs="Arial"/>
                <w:sz w:val="24"/>
                <w:szCs w:val="24"/>
                <w:vertAlign w:val="subscript"/>
                <w:lang w:val="es-ES"/>
              </w:rPr>
              <w:t>2</w:t>
            </w:r>
            <w:r w:rsidR="00B53F8E" w:rsidRPr="001E2FFE">
              <w:rPr>
                <w:rFonts w:cs="Arial"/>
                <w:sz w:val="24"/>
                <w:szCs w:val="24"/>
                <w:lang w:val="es-ES"/>
              </w:rPr>
              <w:t>e</w:t>
            </w:r>
          </w:p>
        </w:tc>
        <w:tc>
          <w:tcPr>
            <w:tcW w:w="2137" w:type="dxa"/>
            <w:tcBorders>
              <w:left w:val="single" w:sz="18" w:space="0" w:color="auto"/>
              <w:right w:val="single" w:sz="18" w:space="0" w:color="auto"/>
            </w:tcBorders>
          </w:tcPr>
          <w:p w:rsidR="00B53F8E" w:rsidRPr="001E2FFE" w:rsidRDefault="00B53F8E" w:rsidP="00B70293">
            <w:pPr>
              <w:spacing w:after="0" w:line="276" w:lineRule="auto"/>
              <w:jc w:val="center"/>
              <w:rPr>
                <w:rFonts w:cs="Arial"/>
                <w:sz w:val="24"/>
                <w:szCs w:val="24"/>
                <w:lang w:val="es-ES"/>
              </w:rPr>
            </w:pPr>
            <w:r w:rsidRPr="001E2FFE">
              <w:rPr>
                <w:rFonts w:cs="Arial"/>
                <w:sz w:val="24"/>
                <w:szCs w:val="24"/>
                <w:lang w:val="es-ES"/>
              </w:rPr>
              <w:t>10,72%</w:t>
            </w:r>
          </w:p>
        </w:tc>
      </w:tr>
      <w:tr w:rsidR="00B53F8E" w:rsidTr="00B53F8E">
        <w:trPr>
          <w:trHeight w:val="394"/>
          <w:jc w:val="center"/>
        </w:trPr>
        <w:tc>
          <w:tcPr>
            <w:tcW w:w="623" w:type="dxa"/>
            <w:tcBorders>
              <w:left w:val="single" w:sz="18" w:space="0" w:color="auto"/>
              <w:right w:val="single" w:sz="18" w:space="0" w:color="auto"/>
            </w:tcBorders>
          </w:tcPr>
          <w:p w:rsidR="00B53F8E" w:rsidRPr="001E2FFE" w:rsidRDefault="00B53F8E" w:rsidP="00B53F8E">
            <w:pPr>
              <w:spacing w:after="0" w:line="276" w:lineRule="auto"/>
              <w:jc w:val="center"/>
              <w:rPr>
                <w:rFonts w:cs="Arial"/>
                <w:sz w:val="24"/>
                <w:szCs w:val="24"/>
                <w:lang w:val="es-ES"/>
              </w:rPr>
            </w:pPr>
            <w:r>
              <w:rPr>
                <w:rFonts w:cs="Arial"/>
                <w:sz w:val="24"/>
                <w:szCs w:val="24"/>
                <w:lang w:val="es-ES"/>
              </w:rPr>
              <w:t>3</w:t>
            </w:r>
          </w:p>
        </w:tc>
        <w:tc>
          <w:tcPr>
            <w:tcW w:w="3211" w:type="dxa"/>
            <w:tcBorders>
              <w:left w:val="single" w:sz="18" w:space="0" w:color="auto"/>
              <w:right w:val="single" w:sz="18" w:space="0" w:color="auto"/>
            </w:tcBorders>
          </w:tcPr>
          <w:p w:rsidR="00B53F8E" w:rsidRPr="001E2FFE" w:rsidRDefault="00B53F8E" w:rsidP="006D45BE">
            <w:pPr>
              <w:spacing w:after="0" w:line="276" w:lineRule="auto"/>
              <w:jc w:val="both"/>
              <w:rPr>
                <w:rFonts w:cs="Arial"/>
                <w:sz w:val="24"/>
                <w:szCs w:val="24"/>
                <w:lang w:val="es-ES"/>
              </w:rPr>
            </w:pPr>
            <w:r w:rsidRPr="001E2FFE">
              <w:rPr>
                <w:rFonts w:cs="Arial"/>
                <w:sz w:val="24"/>
                <w:szCs w:val="24"/>
                <w:lang w:val="es-ES"/>
              </w:rPr>
              <w:t>RESIDUOS</w:t>
            </w:r>
            <w:r>
              <w:rPr>
                <w:rFonts w:cs="Arial"/>
                <w:sz w:val="24"/>
                <w:szCs w:val="24"/>
                <w:lang w:val="es-ES"/>
              </w:rPr>
              <w:t>.</w:t>
            </w:r>
          </w:p>
        </w:tc>
        <w:tc>
          <w:tcPr>
            <w:tcW w:w="2359" w:type="dxa"/>
            <w:tcBorders>
              <w:left w:val="single" w:sz="18" w:space="0" w:color="auto"/>
              <w:right w:val="single" w:sz="18" w:space="0" w:color="auto"/>
            </w:tcBorders>
          </w:tcPr>
          <w:p w:rsidR="00B53F8E" w:rsidRPr="001E2FFE" w:rsidRDefault="00F24955" w:rsidP="00B70293">
            <w:pPr>
              <w:spacing w:after="0" w:line="276" w:lineRule="auto"/>
              <w:jc w:val="center"/>
              <w:rPr>
                <w:rFonts w:cs="Arial"/>
                <w:sz w:val="24"/>
                <w:szCs w:val="24"/>
                <w:lang w:val="es-ES"/>
              </w:rPr>
            </w:pPr>
            <w:r>
              <w:rPr>
                <w:rFonts w:cs="Arial"/>
                <w:sz w:val="24"/>
                <w:szCs w:val="24"/>
                <w:lang w:val="es-ES"/>
              </w:rPr>
              <w:t>23</w:t>
            </w:r>
            <w:r w:rsidR="00B53F8E" w:rsidRPr="001E2FFE">
              <w:rPr>
                <w:rFonts w:cs="Arial"/>
                <w:sz w:val="24"/>
                <w:szCs w:val="24"/>
                <w:lang w:val="es-ES"/>
              </w:rPr>
              <w:t>34</w:t>
            </w:r>
            <w:r>
              <w:rPr>
                <w:rFonts w:cs="Arial"/>
                <w:sz w:val="24"/>
                <w:szCs w:val="24"/>
                <w:lang w:val="es-ES"/>
              </w:rPr>
              <w:t xml:space="preserve">0 </w:t>
            </w:r>
            <w:proofErr w:type="spellStart"/>
            <w:r>
              <w:rPr>
                <w:rFonts w:cs="Arial"/>
                <w:sz w:val="24"/>
                <w:szCs w:val="24"/>
                <w:lang w:val="es-ES"/>
              </w:rPr>
              <w:t>Tn</w:t>
            </w:r>
            <w:proofErr w:type="spellEnd"/>
            <w:r w:rsidR="00B53F8E" w:rsidRPr="001E2FFE">
              <w:rPr>
                <w:rFonts w:cs="Arial"/>
                <w:sz w:val="24"/>
                <w:szCs w:val="24"/>
                <w:lang w:val="es-ES"/>
              </w:rPr>
              <w:t xml:space="preserve"> CO</w:t>
            </w:r>
            <w:r w:rsidR="00B53F8E" w:rsidRPr="001E2FFE">
              <w:rPr>
                <w:rFonts w:cs="Arial"/>
                <w:sz w:val="24"/>
                <w:szCs w:val="24"/>
                <w:vertAlign w:val="subscript"/>
                <w:lang w:val="es-ES"/>
              </w:rPr>
              <w:t>2</w:t>
            </w:r>
            <w:r w:rsidR="00B53F8E" w:rsidRPr="001E2FFE">
              <w:rPr>
                <w:rFonts w:cs="Arial"/>
                <w:sz w:val="24"/>
                <w:szCs w:val="24"/>
                <w:lang w:val="es-ES"/>
              </w:rPr>
              <w:t>e</w:t>
            </w:r>
          </w:p>
        </w:tc>
        <w:tc>
          <w:tcPr>
            <w:tcW w:w="2137" w:type="dxa"/>
            <w:tcBorders>
              <w:left w:val="single" w:sz="18" w:space="0" w:color="auto"/>
              <w:right w:val="single" w:sz="18" w:space="0" w:color="auto"/>
            </w:tcBorders>
          </w:tcPr>
          <w:p w:rsidR="00B53F8E" w:rsidRPr="001E2FFE" w:rsidRDefault="00B53F8E" w:rsidP="00B70293">
            <w:pPr>
              <w:spacing w:after="0" w:line="276" w:lineRule="auto"/>
              <w:jc w:val="center"/>
              <w:rPr>
                <w:rFonts w:cs="Arial"/>
                <w:sz w:val="24"/>
                <w:szCs w:val="24"/>
                <w:lang w:val="es-ES"/>
              </w:rPr>
            </w:pPr>
            <w:r w:rsidRPr="001E2FFE">
              <w:rPr>
                <w:rFonts w:cs="Arial"/>
                <w:sz w:val="24"/>
                <w:szCs w:val="24"/>
                <w:lang w:val="es-ES"/>
              </w:rPr>
              <w:t>5,68%</w:t>
            </w:r>
          </w:p>
        </w:tc>
      </w:tr>
      <w:tr w:rsidR="00B53F8E" w:rsidTr="00B53F8E">
        <w:trPr>
          <w:trHeight w:val="394"/>
          <w:jc w:val="center"/>
        </w:trPr>
        <w:tc>
          <w:tcPr>
            <w:tcW w:w="623" w:type="dxa"/>
            <w:tcBorders>
              <w:left w:val="single" w:sz="18" w:space="0" w:color="auto"/>
              <w:right w:val="single" w:sz="18" w:space="0" w:color="auto"/>
            </w:tcBorders>
          </w:tcPr>
          <w:p w:rsidR="00B53F8E" w:rsidRPr="001E2FFE" w:rsidRDefault="00B53F8E" w:rsidP="00B53F8E">
            <w:pPr>
              <w:spacing w:after="0" w:line="276" w:lineRule="auto"/>
              <w:jc w:val="center"/>
              <w:rPr>
                <w:rFonts w:cs="Arial"/>
                <w:sz w:val="24"/>
                <w:szCs w:val="24"/>
                <w:lang w:val="es-ES"/>
              </w:rPr>
            </w:pPr>
            <w:r>
              <w:rPr>
                <w:rFonts w:cs="Arial"/>
                <w:sz w:val="24"/>
                <w:szCs w:val="24"/>
                <w:lang w:val="es-ES"/>
              </w:rPr>
              <w:t>4</w:t>
            </w:r>
          </w:p>
        </w:tc>
        <w:tc>
          <w:tcPr>
            <w:tcW w:w="3211" w:type="dxa"/>
            <w:tcBorders>
              <w:left w:val="single" w:sz="18" w:space="0" w:color="auto"/>
              <w:right w:val="single" w:sz="18" w:space="0" w:color="auto"/>
            </w:tcBorders>
          </w:tcPr>
          <w:p w:rsidR="00B53F8E" w:rsidRPr="001E2FFE" w:rsidRDefault="00B53F8E" w:rsidP="006D45BE">
            <w:pPr>
              <w:spacing w:after="0" w:line="276" w:lineRule="auto"/>
              <w:jc w:val="both"/>
              <w:rPr>
                <w:rFonts w:cs="Arial"/>
                <w:sz w:val="24"/>
                <w:szCs w:val="24"/>
                <w:lang w:val="es-ES"/>
              </w:rPr>
            </w:pPr>
            <w:r w:rsidRPr="001E2FFE">
              <w:rPr>
                <w:rFonts w:cs="Arial"/>
                <w:sz w:val="24"/>
                <w:szCs w:val="24"/>
                <w:lang w:val="es-ES"/>
              </w:rPr>
              <w:t>PROCESOS IND</w:t>
            </w:r>
            <w:r>
              <w:rPr>
                <w:rFonts w:cs="Arial"/>
                <w:sz w:val="24"/>
                <w:szCs w:val="24"/>
                <w:lang w:val="es-ES"/>
              </w:rPr>
              <w:t>USTRIALES.</w:t>
            </w:r>
          </w:p>
        </w:tc>
        <w:tc>
          <w:tcPr>
            <w:tcW w:w="2359" w:type="dxa"/>
            <w:tcBorders>
              <w:left w:val="single" w:sz="18" w:space="0" w:color="auto"/>
              <w:right w:val="single" w:sz="18" w:space="0" w:color="auto"/>
            </w:tcBorders>
          </w:tcPr>
          <w:p w:rsidR="00B53F8E" w:rsidRPr="001E2FFE" w:rsidRDefault="00B53F8E" w:rsidP="00B70293">
            <w:pPr>
              <w:spacing w:after="0" w:line="276" w:lineRule="auto"/>
              <w:jc w:val="center"/>
              <w:rPr>
                <w:rFonts w:cs="Arial"/>
                <w:sz w:val="24"/>
                <w:szCs w:val="24"/>
                <w:lang w:val="es-ES"/>
              </w:rPr>
            </w:pPr>
            <w:r w:rsidRPr="001E2FFE">
              <w:rPr>
                <w:rFonts w:cs="Arial"/>
                <w:sz w:val="24"/>
                <w:szCs w:val="24"/>
                <w:lang w:val="es-ES"/>
              </w:rPr>
              <w:t>------------------</w:t>
            </w:r>
          </w:p>
        </w:tc>
        <w:tc>
          <w:tcPr>
            <w:tcW w:w="2137" w:type="dxa"/>
            <w:tcBorders>
              <w:left w:val="single" w:sz="18" w:space="0" w:color="auto"/>
              <w:right w:val="single" w:sz="18" w:space="0" w:color="auto"/>
            </w:tcBorders>
          </w:tcPr>
          <w:p w:rsidR="00B53F8E" w:rsidRPr="001E2FFE" w:rsidRDefault="00B53F8E" w:rsidP="00B70293">
            <w:pPr>
              <w:spacing w:after="0" w:line="276" w:lineRule="auto"/>
              <w:jc w:val="center"/>
              <w:rPr>
                <w:rFonts w:cs="Arial"/>
                <w:sz w:val="24"/>
                <w:szCs w:val="24"/>
                <w:lang w:val="es-ES"/>
              </w:rPr>
            </w:pPr>
            <w:r w:rsidRPr="001E2FFE">
              <w:rPr>
                <w:rFonts w:cs="Arial"/>
                <w:sz w:val="24"/>
                <w:szCs w:val="24"/>
                <w:lang w:val="es-ES"/>
              </w:rPr>
              <w:t>---------------</w:t>
            </w:r>
          </w:p>
        </w:tc>
      </w:tr>
      <w:tr w:rsidR="00B53F8E" w:rsidTr="00B53F8E">
        <w:trPr>
          <w:trHeight w:val="414"/>
          <w:jc w:val="center"/>
        </w:trPr>
        <w:tc>
          <w:tcPr>
            <w:tcW w:w="623" w:type="dxa"/>
            <w:tcBorders>
              <w:left w:val="single" w:sz="18" w:space="0" w:color="auto"/>
              <w:bottom w:val="single" w:sz="18" w:space="0" w:color="auto"/>
              <w:right w:val="single" w:sz="18" w:space="0" w:color="auto"/>
            </w:tcBorders>
          </w:tcPr>
          <w:p w:rsidR="00B53F8E" w:rsidRPr="001E2FFE" w:rsidRDefault="00B53F8E" w:rsidP="00B53F8E">
            <w:pPr>
              <w:spacing w:after="0" w:line="276" w:lineRule="auto"/>
              <w:jc w:val="center"/>
              <w:rPr>
                <w:rFonts w:cs="Arial"/>
                <w:sz w:val="24"/>
                <w:szCs w:val="24"/>
                <w:lang w:val="es-ES"/>
              </w:rPr>
            </w:pPr>
            <w:r>
              <w:rPr>
                <w:rFonts w:cs="Arial"/>
                <w:sz w:val="24"/>
                <w:szCs w:val="24"/>
                <w:lang w:val="es-ES"/>
              </w:rPr>
              <w:t>5</w:t>
            </w:r>
          </w:p>
        </w:tc>
        <w:tc>
          <w:tcPr>
            <w:tcW w:w="3211" w:type="dxa"/>
            <w:tcBorders>
              <w:left w:val="single" w:sz="18" w:space="0" w:color="auto"/>
              <w:bottom w:val="single" w:sz="18" w:space="0" w:color="auto"/>
              <w:right w:val="single" w:sz="18" w:space="0" w:color="auto"/>
            </w:tcBorders>
          </w:tcPr>
          <w:p w:rsidR="00B53F8E" w:rsidRPr="001E2FFE" w:rsidRDefault="00B53F8E" w:rsidP="006D45BE">
            <w:pPr>
              <w:spacing w:after="0" w:line="276" w:lineRule="auto"/>
              <w:jc w:val="both"/>
              <w:rPr>
                <w:rFonts w:cs="Arial"/>
                <w:sz w:val="24"/>
                <w:szCs w:val="24"/>
                <w:lang w:val="es-ES"/>
              </w:rPr>
            </w:pPr>
            <w:r w:rsidRPr="001E2FFE">
              <w:rPr>
                <w:rFonts w:cs="Arial"/>
                <w:sz w:val="24"/>
                <w:szCs w:val="24"/>
                <w:lang w:val="es-ES"/>
              </w:rPr>
              <w:t>AGRICULTURA Y GANADERIA</w:t>
            </w:r>
            <w:r>
              <w:rPr>
                <w:rFonts w:cs="Arial"/>
                <w:sz w:val="24"/>
                <w:szCs w:val="24"/>
                <w:lang w:val="es-ES"/>
              </w:rPr>
              <w:t>.</w:t>
            </w:r>
          </w:p>
        </w:tc>
        <w:tc>
          <w:tcPr>
            <w:tcW w:w="2359" w:type="dxa"/>
            <w:tcBorders>
              <w:left w:val="single" w:sz="18" w:space="0" w:color="auto"/>
              <w:bottom w:val="single" w:sz="18" w:space="0" w:color="auto"/>
              <w:right w:val="single" w:sz="18" w:space="0" w:color="auto"/>
            </w:tcBorders>
          </w:tcPr>
          <w:p w:rsidR="00B53F8E" w:rsidRPr="001E2FFE" w:rsidRDefault="00F24955" w:rsidP="00F24955">
            <w:pPr>
              <w:spacing w:after="0" w:line="276" w:lineRule="auto"/>
              <w:jc w:val="center"/>
              <w:rPr>
                <w:rFonts w:cs="Arial"/>
                <w:sz w:val="24"/>
                <w:szCs w:val="24"/>
                <w:lang w:val="es-ES"/>
              </w:rPr>
            </w:pPr>
            <w:r>
              <w:rPr>
                <w:rFonts w:cs="Arial"/>
                <w:sz w:val="24"/>
                <w:szCs w:val="24"/>
                <w:lang w:val="es-ES"/>
              </w:rPr>
              <w:t>265</w:t>
            </w:r>
            <w:r w:rsidR="00B53F8E" w:rsidRPr="001E2FFE">
              <w:rPr>
                <w:rFonts w:cs="Arial"/>
                <w:sz w:val="24"/>
                <w:szCs w:val="24"/>
                <w:lang w:val="es-ES"/>
              </w:rPr>
              <w:t>66</w:t>
            </w:r>
            <w:r>
              <w:rPr>
                <w:rFonts w:cs="Arial"/>
                <w:sz w:val="24"/>
                <w:szCs w:val="24"/>
                <w:lang w:val="es-ES"/>
              </w:rPr>
              <w:t xml:space="preserve">0 </w:t>
            </w:r>
            <w:proofErr w:type="spellStart"/>
            <w:r>
              <w:rPr>
                <w:rFonts w:cs="Arial"/>
                <w:sz w:val="24"/>
                <w:szCs w:val="24"/>
                <w:lang w:val="es-ES"/>
              </w:rPr>
              <w:t>Tn</w:t>
            </w:r>
            <w:proofErr w:type="spellEnd"/>
            <w:r w:rsidR="00B53F8E" w:rsidRPr="001E2FFE">
              <w:rPr>
                <w:rFonts w:cs="Arial"/>
                <w:sz w:val="24"/>
                <w:szCs w:val="24"/>
                <w:lang w:val="es-ES"/>
              </w:rPr>
              <w:t xml:space="preserve"> CO</w:t>
            </w:r>
            <w:r w:rsidR="00B53F8E" w:rsidRPr="001E2FFE">
              <w:rPr>
                <w:rFonts w:cs="Arial"/>
                <w:sz w:val="24"/>
                <w:szCs w:val="24"/>
                <w:vertAlign w:val="subscript"/>
                <w:lang w:val="es-ES"/>
              </w:rPr>
              <w:t>2</w:t>
            </w:r>
            <w:r w:rsidR="00B53F8E" w:rsidRPr="001E2FFE">
              <w:rPr>
                <w:rFonts w:cs="Arial"/>
                <w:sz w:val="24"/>
                <w:szCs w:val="24"/>
                <w:lang w:val="es-ES"/>
              </w:rPr>
              <w:t>e</w:t>
            </w:r>
          </w:p>
        </w:tc>
        <w:tc>
          <w:tcPr>
            <w:tcW w:w="2137" w:type="dxa"/>
            <w:tcBorders>
              <w:left w:val="single" w:sz="18" w:space="0" w:color="auto"/>
              <w:bottom w:val="single" w:sz="18" w:space="0" w:color="auto"/>
              <w:right w:val="single" w:sz="18" w:space="0" w:color="auto"/>
            </w:tcBorders>
          </w:tcPr>
          <w:p w:rsidR="00B53F8E" w:rsidRPr="001E2FFE" w:rsidRDefault="00B53F8E" w:rsidP="00B70293">
            <w:pPr>
              <w:spacing w:after="0" w:line="276" w:lineRule="auto"/>
              <w:jc w:val="center"/>
              <w:rPr>
                <w:rFonts w:cs="Arial"/>
                <w:sz w:val="24"/>
                <w:szCs w:val="24"/>
                <w:lang w:val="es-ES"/>
              </w:rPr>
            </w:pPr>
            <w:r w:rsidRPr="001E2FFE">
              <w:rPr>
                <w:rFonts w:cs="Arial"/>
                <w:sz w:val="24"/>
                <w:szCs w:val="24"/>
                <w:lang w:val="es-ES"/>
              </w:rPr>
              <w:t>64,70%</w:t>
            </w:r>
          </w:p>
        </w:tc>
      </w:tr>
    </w:tbl>
    <w:p w:rsidR="001E2FFE" w:rsidRPr="001E2FFE" w:rsidRDefault="001E2FFE" w:rsidP="006D45BE">
      <w:pPr>
        <w:spacing w:after="0" w:line="276" w:lineRule="auto"/>
        <w:jc w:val="both"/>
        <w:rPr>
          <w:rFonts w:cs="Arial"/>
          <w:b/>
          <w:sz w:val="28"/>
          <w:szCs w:val="28"/>
          <w:u w:val="single"/>
          <w:lang w:val="es-ES"/>
        </w:rPr>
      </w:pPr>
    </w:p>
    <w:p w:rsidR="006D45BE" w:rsidRPr="001E2FFE" w:rsidRDefault="001B2F61" w:rsidP="001B2F61">
      <w:pPr>
        <w:spacing w:after="0" w:line="276" w:lineRule="auto"/>
        <w:jc w:val="both"/>
        <w:rPr>
          <w:rFonts w:cs="Arial"/>
          <w:b/>
          <w:sz w:val="28"/>
          <w:szCs w:val="28"/>
          <w:u w:val="single"/>
          <w:lang w:val="es-ES"/>
        </w:rPr>
      </w:pPr>
      <w:r>
        <w:rPr>
          <w:rFonts w:cs="Arial"/>
          <w:b/>
          <w:sz w:val="28"/>
          <w:szCs w:val="28"/>
          <w:u w:val="single"/>
          <w:lang w:val="es-ES"/>
        </w:rPr>
        <w:t>Tabla c</w:t>
      </w:r>
      <w:r w:rsidR="00B70293" w:rsidRPr="001E2FFE">
        <w:rPr>
          <w:rFonts w:cs="Arial"/>
          <w:b/>
          <w:sz w:val="28"/>
          <w:szCs w:val="28"/>
          <w:u w:val="single"/>
          <w:lang w:val="es-ES"/>
        </w:rPr>
        <w:t xml:space="preserve">omparativa de </w:t>
      </w:r>
      <w:r w:rsidR="001E2FFE" w:rsidRPr="001E2FFE">
        <w:rPr>
          <w:rFonts w:cs="Arial"/>
          <w:b/>
          <w:sz w:val="28"/>
          <w:szCs w:val="28"/>
          <w:u w:val="single"/>
          <w:lang w:val="es-ES"/>
        </w:rPr>
        <w:t>emisiones de G</w:t>
      </w:r>
      <w:r>
        <w:rPr>
          <w:rFonts w:cs="Arial"/>
          <w:b/>
          <w:sz w:val="28"/>
          <w:szCs w:val="28"/>
          <w:u w:val="single"/>
          <w:lang w:val="es-ES"/>
        </w:rPr>
        <w:t xml:space="preserve">ases de </w:t>
      </w:r>
      <w:r w:rsidR="001E2FFE" w:rsidRPr="001E2FFE">
        <w:rPr>
          <w:rFonts w:cs="Arial"/>
          <w:b/>
          <w:sz w:val="28"/>
          <w:szCs w:val="28"/>
          <w:u w:val="single"/>
          <w:lang w:val="es-ES"/>
        </w:rPr>
        <w:t>E</w:t>
      </w:r>
      <w:r>
        <w:rPr>
          <w:rFonts w:cs="Arial"/>
          <w:b/>
          <w:sz w:val="28"/>
          <w:szCs w:val="28"/>
          <w:u w:val="single"/>
          <w:lang w:val="es-ES"/>
        </w:rPr>
        <w:t xml:space="preserve">fecto </w:t>
      </w:r>
      <w:r w:rsidR="001E2FFE" w:rsidRPr="001E2FFE">
        <w:rPr>
          <w:rFonts w:cs="Arial"/>
          <w:b/>
          <w:sz w:val="28"/>
          <w:szCs w:val="28"/>
          <w:u w:val="single"/>
          <w:lang w:val="es-ES"/>
        </w:rPr>
        <w:t>I</w:t>
      </w:r>
      <w:r>
        <w:rPr>
          <w:rFonts w:cs="Arial"/>
          <w:b/>
          <w:sz w:val="28"/>
          <w:szCs w:val="28"/>
          <w:u w:val="single"/>
          <w:lang w:val="es-ES"/>
        </w:rPr>
        <w:t>nvernadero</w:t>
      </w:r>
      <w:r w:rsidR="001E2FFE" w:rsidRPr="001E2FFE">
        <w:rPr>
          <w:rFonts w:cs="Arial"/>
          <w:b/>
          <w:sz w:val="28"/>
          <w:szCs w:val="28"/>
          <w:u w:val="single"/>
          <w:lang w:val="es-ES"/>
        </w:rPr>
        <w:t>:</w:t>
      </w:r>
    </w:p>
    <w:p w:rsidR="00AF394F" w:rsidRDefault="00AF394F" w:rsidP="001E2FFE">
      <w:pPr>
        <w:spacing w:after="0" w:line="276" w:lineRule="auto"/>
        <w:jc w:val="center"/>
        <w:rPr>
          <w:rFonts w:ascii="Arial" w:hAnsi="Arial" w:cs="Arial"/>
          <w:lang w:val="es-ES"/>
        </w:rPr>
      </w:pPr>
      <w:r>
        <w:rPr>
          <w:rFonts w:ascii="Arial" w:hAnsi="Arial" w:cs="Arial"/>
          <w:noProof/>
          <w:lang w:val="es-ES" w:eastAsia="es-ES"/>
        </w:rPr>
        <w:drawing>
          <wp:inline distT="0" distB="0" distL="0" distR="0">
            <wp:extent cx="5857875" cy="2253887"/>
            <wp:effectExtent l="38100" t="57150" r="123825" b="89263"/>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l="8886" t="29337" r="15870" b="19133"/>
                    <a:stretch>
                      <a:fillRect/>
                    </a:stretch>
                  </pic:blipFill>
                  <pic:spPr bwMode="auto">
                    <a:xfrm>
                      <a:off x="0" y="0"/>
                      <a:ext cx="5857600" cy="225378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E2FFE" w:rsidRDefault="001E2FFE" w:rsidP="001E2FFE">
      <w:pPr>
        <w:spacing w:after="200" w:line="276" w:lineRule="auto"/>
        <w:rPr>
          <w:rFonts w:ascii="Arial" w:hAnsi="Arial" w:cs="Arial"/>
          <w:lang w:val="es-ES"/>
        </w:rPr>
      </w:pPr>
    </w:p>
    <w:p w:rsidR="00B01B36" w:rsidRPr="001E2FFE" w:rsidRDefault="00577D3D" w:rsidP="00577D3D">
      <w:pPr>
        <w:spacing w:after="200" w:line="276" w:lineRule="auto"/>
        <w:jc w:val="both"/>
        <w:rPr>
          <w:rFonts w:ascii="Arial" w:hAnsi="Arial" w:cs="Arial"/>
          <w:lang w:val="es-ES"/>
        </w:rPr>
      </w:pPr>
      <w:r>
        <w:rPr>
          <w:rFonts w:cs="Arial"/>
          <w:sz w:val="24"/>
          <w:szCs w:val="24"/>
          <w:lang w:val="es-ES"/>
        </w:rPr>
        <w:lastRenderedPageBreak/>
        <w:t>En este momento s</w:t>
      </w:r>
      <w:r w:rsidR="00F24955">
        <w:rPr>
          <w:rFonts w:cs="Arial"/>
          <w:sz w:val="24"/>
          <w:szCs w:val="24"/>
          <w:lang w:val="es-ES"/>
        </w:rPr>
        <w:t>e</w:t>
      </w:r>
      <w:r w:rsidR="006D45BE" w:rsidRPr="001E2FFE">
        <w:rPr>
          <w:rFonts w:cs="Arial"/>
          <w:sz w:val="24"/>
          <w:szCs w:val="24"/>
          <w:lang w:val="es-ES"/>
        </w:rPr>
        <w:t xml:space="preserve"> está trabajando en la actualización del inventario</w:t>
      </w:r>
      <w:r w:rsidR="00B01B36" w:rsidRPr="001E2FFE">
        <w:rPr>
          <w:rFonts w:cs="Arial"/>
          <w:sz w:val="24"/>
          <w:szCs w:val="24"/>
          <w:lang w:val="es-ES"/>
        </w:rPr>
        <w:t xml:space="preserve"> de Gases de Efecto Invernadero (GEI) </w:t>
      </w:r>
      <w:r>
        <w:rPr>
          <w:rFonts w:cs="Arial"/>
          <w:sz w:val="24"/>
          <w:szCs w:val="24"/>
          <w:lang w:val="es-ES"/>
        </w:rPr>
        <w:t xml:space="preserve">para los años </w:t>
      </w:r>
      <w:r w:rsidR="00B01B36" w:rsidRPr="001E2FFE">
        <w:rPr>
          <w:rFonts w:cs="Arial"/>
          <w:sz w:val="24"/>
          <w:szCs w:val="24"/>
          <w:lang w:val="es-ES"/>
        </w:rPr>
        <w:t xml:space="preserve">2016 y 2018. </w:t>
      </w:r>
      <w:r w:rsidR="00F24955">
        <w:rPr>
          <w:rFonts w:cs="Arial"/>
          <w:sz w:val="24"/>
          <w:szCs w:val="24"/>
          <w:lang w:val="es-ES"/>
        </w:rPr>
        <w:t>E</w:t>
      </w:r>
      <w:r>
        <w:rPr>
          <w:rFonts w:cs="Arial"/>
          <w:sz w:val="24"/>
          <w:szCs w:val="24"/>
          <w:lang w:val="es-ES"/>
        </w:rPr>
        <w:t>ste inventario es</w:t>
      </w:r>
      <w:r w:rsidR="00B01B36" w:rsidRPr="001E2FFE">
        <w:rPr>
          <w:rFonts w:cs="Arial"/>
          <w:sz w:val="24"/>
          <w:szCs w:val="24"/>
          <w:lang w:val="es-ES"/>
        </w:rPr>
        <w:t xml:space="preserve"> una herramienta de gestión que tiene por objetivo determinar la magnitud de las emisiones y absorciones por sumidero de gases de efecto invernadero (GEI) que son directamente atribuibles a la actividad humana en un territorio definido.</w:t>
      </w:r>
    </w:p>
    <w:p w:rsidR="001E2FFE" w:rsidRPr="001E2FFE" w:rsidRDefault="001E2FFE" w:rsidP="006D45BE">
      <w:pPr>
        <w:spacing w:after="0" w:line="276" w:lineRule="auto"/>
        <w:jc w:val="both"/>
        <w:rPr>
          <w:rFonts w:cs="Arial"/>
          <w:sz w:val="24"/>
          <w:szCs w:val="24"/>
          <w:lang w:val="es-ES"/>
        </w:rPr>
      </w:pPr>
    </w:p>
    <w:p w:rsidR="001E2FFE" w:rsidRPr="001E2FFE" w:rsidRDefault="001E2FFE" w:rsidP="001E2FFE">
      <w:pPr>
        <w:spacing w:after="0" w:line="276" w:lineRule="auto"/>
        <w:jc w:val="center"/>
        <w:rPr>
          <w:rFonts w:ascii="Arial" w:hAnsi="Arial" w:cs="Arial"/>
          <w:b/>
          <w:u w:val="single"/>
          <w:lang w:val="es-ES"/>
        </w:rPr>
      </w:pPr>
      <w:r w:rsidRPr="001E2FFE">
        <w:rPr>
          <w:rFonts w:ascii="Arial" w:hAnsi="Arial" w:cs="Arial"/>
          <w:b/>
          <w:noProof/>
          <w:u w:val="single"/>
          <w:lang w:val="es-ES" w:eastAsia="es-ES"/>
        </w:rPr>
        <w:drawing>
          <wp:inline distT="0" distB="0" distL="0" distR="0">
            <wp:extent cx="6017260" cy="2361772"/>
            <wp:effectExtent l="38100" t="57150" r="116840" b="95678"/>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l="-1147" t="24235" b="5102"/>
                    <a:stretch>
                      <a:fillRect/>
                    </a:stretch>
                  </pic:blipFill>
                  <pic:spPr bwMode="auto">
                    <a:xfrm>
                      <a:off x="0" y="0"/>
                      <a:ext cx="6017260" cy="236177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E2FFE" w:rsidRPr="001E2FFE" w:rsidRDefault="001E2FFE" w:rsidP="001E2FFE">
      <w:pPr>
        <w:spacing w:after="0" w:line="276" w:lineRule="auto"/>
        <w:rPr>
          <w:rFonts w:cs="Arial"/>
          <w:lang w:val="es-ES"/>
        </w:rPr>
      </w:pPr>
      <w:r w:rsidRPr="001E2FFE">
        <w:rPr>
          <w:rFonts w:cs="Arial"/>
          <w:b/>
          <w:u w:val="single"/>
          <w:lang w:val="es-ES"/>
        </w:rPr>
        <w:t>Figura Nº 1</w:t>
      </w:r>
      <w:r w:rsidRPr="001E2FFE">
        <w:rPr>
          <w:rFonts w:cs="Arial"/>
          <w:lang w:val="es-ES"/>
        </w:rPr>
        <w:t xml:space="preserve">: Vista de las planillas de colecta de datos para la realización del inventario. </w:t>
      </w:r>
    </w:p>
    <w:p w:rsidR="006D45BE" w:rsidRPr="001E2FFE" w:rsidRDefault="006D45BE" w:rsidP="006D45BE">
      <w:pPr>
        <w:spacing w:after="0" w:line="276" w:lineRule="auto"/>
        <w:jc w:val="both"/>
        <w:rPr>
          <w:rFonts w:cs="Arial"/>
          <w:lang w:val="es-ES"/>
        </w:rPr>
      </w:pPr>
    </w:p>
    <w:p w:rsidR="00B01B36" w:rsidRPr="001E2FFE" w:rsidRDefault="006D45BE" w:rsidP="006D45BE">
      <w:pPr>
        <w:spacing w:after="0" w:line="276" w:lineRule="auto"/>
        <w:jc w:val="both"/>
        <w:rPr>
          <w:rFonts w:cs="Arial"/>
          <w:sz w:val="24"/>
          <w:szCs w:val="24"/>
          <w:lang w:val="es-ES"/>
        </w:rPr>
      </w:pPr>
      <w:r w:rsidRPr="001E2FFE">
        <w:rPr>
          <w:rFonts w:cs="Arial"/>
          <w:sz w:val="24"/>
          <w:szCs w:val="24"/>
          <w:lang w:val="es-ES"/>
        </w:rPr>
        <w:t>Es importante comentar que l</w:t>
      </w:r>
      <w:r w:rsidR="00B01B36" w:rsidRPr="001E2FFE">
        <w:rPr>
          <w:rFonts w:cs="Arial"/>
          <w:sz w:val="24"/>
          <w:szCs w:val="24"/>
          <w:lang w:val="es-ES"/>
        </w:rPr>
        <w:t>as bases de</w:t>
      </w:r>
      <w:r w:rsidR="00AE1AA3">
        <w:rPr>
          <w:rFonts w:cs="Arial"/>
          <w:sz w:val="24"/>
          <w:szCs w:val="24"/>
          <w:lang w:val="es-ES"/>
        </w:rPr>
        <w:t xml:space="preserve"> </w:t>
      </w:r>
      <w:r w:rsidR="00B01B36" w:rsidRPr="001E2FFE">
        <w:rPr>
          <w:rFonts w:cs="Arial"/>
          <w:sz w:val="24"/>
          <w:szCs w:val="24"/>
          <w:lang w:val="es-ES"/>
        </w:rPr>
        <w:t>cálculo</w:t>
      </w:r>
      <w:r w:rsidR="00F24955">
        <w:rPr>
          <w:rFonts w:cs="Arial"/>
          <w:sz w:val="24"/>
          <w:szCs w:val="24"/>
          <w:lang w:val="es-ES"/>
        </w:rPr>
        <w:t xml:space="preserve"> son </w:t>
      </w:r>
      <w:r w:rsidR="00B01B36" w:rsidRPr="001E2FFE">
        <w:rPr>
          <w:rFonts w:cs="Arial"/>
          <w:sz w:val="24"/>
          <w:szCs w:val="24"/>
          <w:lang w:val="es-ES"/>
        </w:rPr>
        <w:t>propuestas por el Panel Intergubernamental de Expertos en Cambio Climático (IPCC) de la Organización de Naciones Unidas. Bajo estas directrices se elaboró el Protocolo Global para Inventarios de Emisiones de Gases de Efecto Invernadero en Comunidades (GPC), que ofrece a las ciudades un marco robusto, transparente y aceptado a nivel mundial para identificar, calcular y reportar constantemente los gases de efecto invernadero emitidos a causa de la actividad humana de la localidad.</w:t>
      </w:r>
    </w:p>
    <w:p w:rsidR="00B01B36" w:rsidRPr="001E2FFE" w:rsidRDefault="00B01B36" w:rsidP="00B01B36">
      <w:pPr>
        <w:pStyle w:val="Prrafodelista"/>
        <w:spacing w:after="0" w:line="276" w:lineRule="auto"/>
        <w:jc w:val="both"/>
        <w:rPr>
          <w:rFonts w:cs="Arial"/>
          <w:sz w:val="24"/>
          <w:szCs w:val="24"/>
          <w:lang w:val="es-ES"/>
        </w:rPr>
      </w:pPr>
    </w:p>
    <w:p w:rsidR="00B01B36" w:rsidRPr="001E2FFE" w:rsidRDefault="00577D3D" w:rsidP="005F42BC">
      <w:pPr>
        <w:spacing w:after="0" w:line="276" w:lineRule="auto"/>
        <w:jc w:val="both"/>
        <w:rPr>
          <w:rFonts w:cs="Arial"/>
          <w:sz w:val="24"/>
          <w:szCs w:val="24"/>
          <w:lang w:val="es-ES"/>
        </w:rPr>
      </w:pPr>
      <w:r>
        <w:rPr>
          <w:rFonts w:cs="Arial"/>
          <w:b/>
          <w:sz w:val="24"/>
          <w:szCs w:val="24"/>
          <w:u w:val="single"/>
          <w:lang w:val="es-ES"/>
        </w:rPr>
        <w:t>Los Gases de Efecto Invernadero</w:t>
      </w:r>
      <w:r w:rsidR="00B01B36" w:rsidRPr="001E2FFE">
        <w:rPr>
          <w:rFonts w:cs="Arial"/>
          <w:b/>
          <w:sz w:val="24"/>
          <w:szCs w:val="24"/>
          <w:u w:val="single"/>
          <w:lang w:val="es-ES"/>
        </w:rPr>
        <w:t xml:space="preserve"> estudiados son</w:t>
      </w:r>
      <w:r w:rsidR="00B01B36" w:rsidRPr="001E2FFE">
        <w:rPr>
          <w:rFonts w:cs="Arial"/>
          <w:sz w:val="24"/>
          <w:szCs w:val="24"/>
          <w:lang w:val="es-ES"/>
        </w:rPr>
        <w:t>:</w:t>
      </w:r>
    </w:p>
    <w:p w:rsidR="00B01B36" w:rsidRPr="001E2FFE" w:rsidRDefault="00B01B36" w:rsidP="00B01B36">
      <w:pPr>
        <w:spacing w:after="0" w:line="276" w:lineRule="auto"/>
        <w:jc w:val="both"/>
        <w:rPr>
          <w:rFonts w:cs="Arial"/>
          <w:sz w:val="24"/>
          <w:szCs w:val="24"/>
          <w:lang w:val="es-ES"/>
        </w:rPr>
      </w:pPr>
    </w:p>
    <w:tbl>
      <w:tblPr>
        <w:tblStyle w:val="Tablaconcuadrcula"/>
        <w:tblW w:w="0" w:type="auto"/>
        <w:tblInd w:w="720" w:type="dxa"/>
        <w:tblLook w:val="04A0"/>
      </w:tblPr>
      <w:tblGrid>
        <w:gridCol w:w="3605"/>
        <w:gridCol w:w="6169"/>
      </w:tblGrid>
      <w:tr w:rsidR="00B01B36" w:rsidRPr="001E2FFE" w:rsidTr="00F24955">
        <w:trPr>
          <w:trHeight w:val="329"/>
        </w:trPr>
        <w:tc>
          <w:tcPr>
            <w:tcW w:w="3605" w:type="dxa"/>
          </w:tcPr>
          <w:p w:rsidR="00B01B36" w:rsidRPr="001E2FFE" w:rsidRDefault="00B01B36" w:rsidP="00360C7B">
            <w:pPr>
              <w:pStyle w:val="Prrafodelista"/>
              <w:spacing w:after="0" w:line="276" w:lineRule="auto"/>
              <w:ind w:left="0"/>
              <w:jc w:val="center"/>
              <w:rPr>
                <w:rFonts w:cs="Arial"/>
                <w:b/>
                <w:sz w:val="24"/>
                <w:szCs w:val="24"/>
                <w:lang w:val="es-ES"/>
              </w:rPr>
            </w:pPr>
            <w:r w:rsidRPr="001E2FFE">
              <w:rPr>
                <w:rFonts w:cs="Arial"/>
                <w:b/>
                <w:sz w:val="24"/>
                <w:szCs w:val="24"/>
                <w:lang w:val="es-ES"/>
              </w:rPr>
              <w:t>GEI</w:t>
            </w:r>
          </w:p>
        </w:tc>
        <w:tc>
          <w:tcPr>
            <w:tcW w:w="6169" w:type="dxa"/>
            <w:vAlign w:val="center"/>
          </w:tcPr>
          <w:p w:rsidR="00B01B36" w:rsidRPr="001E2FFE" w:rsidRDefault="00B01B36" w:rsidP="00F24955">
            <w:pPr>
              <w:pStyle w:val="Prrafodelista"/>
              <w:spacing w:after="0" w:line="276" w:lineRule="auto"/>
              <w:ind w:left="0"/>
              <w:jc w:val="center"/>
              <w:rPr>
                <w:rFonts w:cs="Arial"/>
                <w:b/>
                <w:sz w:val="24"/>
                <w:szCs w:val="24"/>
                <w:lang w:val="es-ES"/>
              </w:rPr>
            </w:pPr>
            <w:r w:rsidRPr="001E2FFE">
              <w:rPr>
                <w:rFonts w:cs="Arial"/>
                <w:b/>
                <w:sz w:val="24"/>
                <w:szCs w:val="24"/>
                <w:lang w:val="es-ES"/>
              </w:rPr>
              <w:t>Actividad generadoras</w:t>
            </w:r>
          </w:p>
        </w:tc>
      </w:tr>
      <w:tr w:rsidR="00B01B36" w:rsidRPr="001E2FFE" w:rsidTr="00F24955">
        <w:trPr>
          <w:trHeight w:val="735"/>
        </w:trPr>
        <w:tc>
          <w:tcPr>
            <w:tcW w:w="3605" w:type="dxa"/>
            <w:vAlign w:val="center"/>
          </w:tcPr>
          <w:p w:rsidR="00B01B36" w:rsidRPr="00577F20" w:rsidRDefault="00B01B36" w:rsidP="00F24955">
            <w:pPr>
              <w:pStyle w:val="Prrafodelista"/>
              <w:spacing w:after="0" w:line="276" w:lineRule="auto"/>
              <w:ind w:left="0"/>
              <w:rPr>
                <w:rFonts w:cs="Arial"/>
                <w:sz w:val="20"/>
                <w:szCs w:val="20"/>
                <w:lang w:val="es-ES"/>
              </w:rPr>
            </w:pPr>
            <w:r w:rsidRPr="00577F20">
              <w:rPr>
                <w:rFonts w:cs="Arial"/>
                <w:sz w:val="20"/>
                <w:szCs w:val="20"/>
                <w:lang w:val="es-ES"/>
              </w:rPr>
              <w:t>Dióxido de Carbono (CO</w:t>
            </w:r>
            <w:r w:rsidRPr="00577F20">
              <w:rPr>
                <w:rFonts w:cs="Arial"/>
                <w:sz w:val="20"/>
                <w:szCs w:val="20"/>
                <w:vertAlign w:val="subscript"/>
                <w:lang w:val="es-ES"/>
              </w:rPr>
              <w:t>2</w:t>
            </w:r>
            <w:r w:rsidRPr="00577F20">
              <w:rPr>
                <w:rFonts w:cs="Arial"/>
                <w:sz w:val="20"/>
                <w:szCs w:val="20"/>
                <w:lang w:val="es-ES"/>
              </w:rPr>
              <w:t>)</w:t>
            </w:r>
          </w:p>
        </w:tc>
        <w:tc>
          <w:tcPr>
            <w:tcW w:w="6169" w:type="dxa"/>
            <w:vAlign w:val="center"/>
          </w:tcPr>
          <w:p w:rsidR="00B01B36" w:rsidRPr="00577F20" w:rsidRDefault="00B01B36" w:rsidP="00F24955">
            <w:pPr>
              <w:pStyle w:val="Prrafodelista"/>
              <w:spacing w:after="0" w:line="276" w:lineRule="auto"/>
              <w:ind w:left="0"/>
              <w:jc w:val="both"/>
              <w:rPr>
                <w:rFonts w:cs="Arial"/>
                <w:sz w:val="20"/>
                <w:szCs w:val="20"/>
                <w:lang w:val="es-ES"/>
              </w:rPr>
            </w:pPr>
            <w:r w:rsidRPr="00577F20">
              <w:rPr>
                <w:rFonts w:cs="Arial"/>
                <w:sz w:val="20"/>
                <w:szCs w:val="20"/>
                <w:lang w:val="es-ES"/>
              </w:rPr>
              <w:t>Quema de combustibles fósiles, uso de agente supresores de fuego, uso médico, fabricación de bebidas gaseosas, etc.</w:t>
            </w:r>
          </w:p>
        </w:tc>
      </w:tr>
      <w:tr w:rsidR="00B01B36" w:rsidRPr="001E2FFE" w:rsidTr="00F24955">
        <w:trPr>
          <w:trHeight w:val="658"/>
        </w:trPr>
        <w:tc>
          <w:tcPr>
            <w:tcW w:w="3605" w:type="dxa"/>
            <w:vAlign w:val="center"/>
          </w:tcPr>
          <w:p w:rsidR="00B01B36" w:rsidRPr="00577F20" w:rsidRDefault="00B01B36" w:rsidP="00F24955">
            <w:pPr>
              <w:pStyle w:val="Prrafodelista"/>
              <w:spacing w:after="0" w:line="276" w:lineRule="auto"/>
              <w:ind w:left="0"/>
              <w:rPr>
                <w:rFonts w:cs="Arial"/>
                <w:sz w:val="20"/>
                <w:szCs w:val="20"/>
                <w:lang w:val="es-ES"/>
              </w:rPr>
            </w:pPr>
            <w:r w:rsidRPr="00577F20">
              <w:rPr>
                <w:rFonts w:cs="Arial"/>
                <w:sz w:val="20"/>
                <w:szCs w:val="20"/>
                <w:lang w:val="es-ES"/>
              </w:rPr>
              <w:t>Metano (CH</w:t>
            </w:r>
            <w:r w:rsidRPr="00577F20">
              <w:rPr>
                <w:rFonts w:cs="Arial"/>
                <w:sz w:val="20"/>
                <w:szCs w:val="20"/>
                <w:vertAlign w:val="subscript"/>
                <w:lang w:val="es-ES"/>
              </w:rPr>
              <w:t>4</w:t>
            </w:r>
            <w:r w:rsidRPr="00577F20">
              <w:rPr>
                <w:rFonts w:cs="Arial"/>
                <w:sz w:val="20"/>
                <w:szCs w:val="20"/>
                <w:lang w:val="es-ES"/>
              </w:rPr>
              <w:t>)</w:t>
            </w:r>
          </w:p>
        </w:tc>
        <w:tc>
          <w:tcPr>
            <w:tcW w:w="6169" w:type="dxa"/>
            <w:vAlign w:val="center"/>
          </w:tcPr>
          <w:p w:rsidR="00B01B36" w:rsidRPr="00577F20" w:rsidRDefault="00B01B36" w:rsidP="00F24955">
            <w:pPr>
              <w:pStyle w:val="Prrafodelista"/>
              <w:spacing w:after="0" w:line="276" w:lineRule="auto"/>
              <w:ind w:left="0"/>
              <w:jc w:val="both"/>
              <w:rPr>
                <w:rFonts w:cs="Arial"/>
                <w:sz w:val="20"/>
                <w:szCs w:val="20"/>
                <w:lang w:val="es-ES"/>
              </w:rPr>
            </w:pPr>
            <w:r w:rsidRPr="00577F20">
              <w:rPr>
                <w:rFonts w:cs="Arial"/>
                <w:sz w:val="20"/>
                <w:szCs w:val="20"/>
                <w:lang w:val="es-ES"/>
              </w:rPr>
              <w:t>Degradación y descomposición de material orgánico, quema de combustibles fósiles.</w:t>
            </w:r>
          </w:p>
        </w:tc>
      </w:tr>
      <w:tr w:rsidR="00B01B36" w:rsidRPr="001E2FFE" w:rsidTr="00F24955">
        <w:trPr>
          <w:trHeight w:val="316"/>
        </w:trPr>
        <w:tc>
          <w:tcPr>
            <w:tcW w:w="3605" w:type="dxa"/>
            <w:vAlign w:val="center"/>
          </w:tcPr>
          <w:p w:rsidR="00B01B36" w:rsidRPr="00577F20" w:rsidRDefault="00B01B36" w:rsidP="00F24955">
            <w:pPr>
              <w:pStyle w:val="Prrafodelista"/>
              <w:spacing w:after="0" w:line="276" w:lineRule="auto"/>
              <w:ind w:left="0"/>
              <w:rPr>
                <w:rFonts w:cs="Arial"/>
                <w:sz w:val="20"/>
                <w:szCs w:val="20"/>
                <w:lang w:val="es-ES"/>
              </w:rPr>
            </w:pPr>
            <w:r w:rsidRPr="00577F20">
              <w:rPr>
                <w:rFonts w:cs="Arial"/>
                <w:sz w:val="20"/>
                <w:szCs w:val="20"/>
                <w:lang w:val="es-ES"/>
              </w:rPr>
              <w:t>Oxido Nitroso (N</w:t>
            </w:r>
            <w:r w:rsidRPr="00577F20">
              <w:rPr>
                <w:rFonts w:cs="Arial"/>
                <w:sz w:val="20"/>
                <w:szCs w:val="20"/>
                <w:vertAlign w:val="subscript"/>
                <w:lang w:val="es-ES"/>
              </w:rPr>
              <w:t>2</w:t>
            </w:r>
            <w:r w:rsidRPr="00577F20">
              <w:rPr>
                <w:rFonts w:cs="Arial"/>
                <w:sz w:val="20"/>
                <w:szCs w:val="20"/>
                <w:lang w:val="es-ES"/>
              </w:rPr>
              <w:t>O)</w:t>
            </w:r>
          </w:p>
        </w:tc>
        <w:tc>
          <w:tcPr>
            <w:tcW w:w="6169" w:type="dxa"/>
            <w:vAlign w:val="center"/>
          </w:tcPr>
          <w:p w:rsidR="00B01B36" w:rsidRPr="00577F20" w:rsidRDefault="00B01B36" w:rsidP="00F24955">
            <w:pPr>
              <w:pStyle w:val="Prrafodelista"/>
              <w:spacing w:after="0" w:line="276" w:lineRule="auto"/>
              <w:ind w:left="0"/>
              <w:jc w:val="both"/>
              <w:rPr>
                <w:rFonts w:cs="Arial"/>
                <w:sz w:val="20"/>
                <w:szCs w:val="20"/>
                <w:lang w:val="es-ES"/>
              </w:rPr>
            </w:pPr>
            <w:r w:rsidRPr="00577F20">
              <w:rPr>
                <w:rFonts w:cs="Arial"/>
                <w:sz w:val="20"/>
                <w:szCs w:val="20"/>
                <w:lang w:val="es-ES"/>
              </w:rPr>
              <w:t xml:space="preserve">Uso médico como anestésico, quema de combustibles fósiles. </w:t>
            </w:r>
          </w:p>
        </w:tc>
      </w:tr>
      <w:tr w:rsidR="00B01B36" w:rsidRPr="001E2FFE" w:rsidTr="00F24955">
        <w:trPr>
          <w:trHeight w:val="623"/>
        </w:trPr>
        <w:tc>
          <w:tcPr>
            <w:tcW w:w="3605" w:type="dxa"/>
            <w:vAlign w:val="center"/>
          </w:tcPr>
          <w:p w:rsidR="00B01B36" w:rsidRPr="00577F20" w:rsidRDefault="00F24955" w:rsidP="00F24955">
            <w:pPr>
              <w:pStyle w:val="Prrafodelista"/>
              <w:spacing w:after="0" w:line="276" w:lineRule="auto"/>
              <w:ind w:left="0"/>
              <w:rPr>
                <w:rFonts w:cs="Arial"/>
                <w:sz w:val="20"/>
                <w:szCs w:val="20"/>
                <w:lang w:val="es-ES"/>
              </w:rPr>
            </w:pPr>
            <w:r>
              <w:rPr>
                <w:rFonts w:cs="Arial"/>
                <w:sz w:val="20"/>
                <w:szCs w:val="20"/>
                <w:lang w:val="es-ES"/>
              </w:rPr>
              <w:t>Hidrofluorocarbonos</w:t>
            </w:r>
            <w:r w:rsidR="00B01B36" w:rsidRPr="00577F20">
              <w:rPr>
                <w:rFonts w:cs="Arial"/>
                <w:sz w:val="20"/>
                <w:szCs w:val="20"/>
                <w:lang w:val="es-ES"/>
              </w:rPr>
              <w:t xml:space="preserve"> (HFC)</w:t>
            </w:r>
          </w:p>
        </w:tc>
        <w:tc>
          <w:tcPr>
            <w:tcW w:w="6169" w:type="dxa"/>
            <w:vAlign w:val="center"/>
          </w:tcPr>
          <w:p w:rsidR="00B01B36" w:rsidRPr="00577F20" w:rsidRDefault="00B01B36" w:rsidP="00F24955">
            <w:pPr>
              <w:pStyle w:val="Prrafodelista"/>
              <w:spacing w:after="0" w:line="276" w:lineRule="auto"/>
              <w:ind w:left="0"/>
              <w:jc w:val="both"/>
              <w:rPr>
                <w:rFonts w:cs="Arial"/>
                <w:sz w:val="20"/>
                <w:szCs w:val="20"/>
                <w:lang w:val="es-ES"/>
              </w:rPr>
            </w:pPr>
            <w:r w:rsidRPr="00577F20">
              <w:rPr>
                <w:rFonts w:cs="Arial"/>
                <w:sz w:val="20"/>
                <w:szCs w:val="20"/>
                <w:lang w:val="es-ES"/>
              </w:rPr>
              <w:t>Sustituto de los clorofluorocarbonos. Los HFC se utilizan sobre todo en refrigeración y fabricación de semiconductores.</w:t>
            </w:r>
          </w:p>
        </w:tc>
      </w:tr>
      <w:tr w:rsidR="00B01B36" w:rsidRPr="001E2FFE" w:rsidTr="00F24955">
        <w:trPr>
          <w:trHeight w:val="845"/>
        </w:trPr>
        <w:tc>
          <w:tcPr>
            <w:tcW w:w="3605" w:type="dxa"/>
            <w:vAlign w:val="center"/>
          </w:tcPr>
          <w:p w:rsidR="00B01B36" w:rsidRPr="00577F20" w:rsidRDefault="00B01B36" w:rsidP="00F24955">
            <w:pPr>
              <w:pStyle w:val="Prrafodelista"/>
              <w:spacing w:after="0" w:line="276" w:lineRule="auto"/>
              <w:ind w:left="0"/>
              <w:rPr>
                <w:rFonts w:cs="Arial"/>
                <w:sz w:val="20"/>
                <w:szCs w:val="20"/>
                <w:lang w:val="es-ES"/>
              </w:rPr>
            </w:pPr>
            <w:r w:rsidRPr="00577F20">
              <w:rPr>
                <w:rFonts w:cs="Arial"/>
                <w:sz w:val="20"/>
                <w:szCs w:val="20"/>
                <w:lang w:val="es-ES"/>
              </w:rPr>
              <w:t>Perfluorocarbonos (PFC)</w:t>
            </w:r>
          </w:p>
        </w:tc>
        <w:tc>
          <w:tcPr>
            <w:tcW w:w="6169" w:type="dxa"/>
            <w:vAlign w:val="center"/>
          </w:tcPr>
          <w:p w:rsidR="005F42BC" w:rsidRPr="00577F20" w:rsidRDefault="00B01B36" w:rsidP="00F24955">
            <w:pPr>
              <w:pStyle w:val="Prrafodelista"/>
              <w:spacing w:after="0" w:line="276" w:lineRule="auto"/>
              <w:ind w:left="0"/>
              <w:jc w:val="both"/>
              <w:rPr>
                <w:rFonts w:cs="Arial"/>
                <w:sz w:val="20"/>
                <w:szCs w:val="20"/>
                <w:lang w:val="es-ES"/>
              </w:rPr>
            </w:pPr>
            <w:r w:rsidRPr="00577F20">
              <w:rPr>
                <w:rFonts w:cs="Arial"/>
                <w:sz w:val="20"/>
                <w:szCs w:val="20"/>
                <w:lang w:val="es-ES"/>
              </w:rPr>
              <w:t xml:space="preserve">Subproductos de la función del aluminio y del enriquecimiento del uranio. </w:t>
            </w:r>
            <w:r w:rsidR="005F42BC" w:rsidRPr="00577F20">
              <w:rPr>
                <w:rFonts w:cs="Arial"/>
                <w:sz w:val="20"/>
                <w:szCs w:val="20"/>
                <w:lang w:val="es-ES"/>
              </w:rPr>
              <w:t>También</w:t>
            </w:r>
            <w:r w:rsidRPr="00577F20">
              <w:rPr>
                <w:rFonts w:cs="Arial"/>
                <w:sz w:val="20"/>
                <w:szCs w:val="20"/>
                <w:lang w:val="es-ES"/>
              </w:rPr>
              <w:t xml:space="preserve"> sustituyen a los clorofluorocarbonos en la </w:t>
            </w:r>
            <w:r w:rsidR="005F42BC" w:rsidRPr="00577F20">
              <w:rPr>
                <w:rFonts w:cs="Arial"/>
                <w:sz w:val="20"/>
                <w:szCs w:val="20"/>
                <w:lang w:val="es-ES"/>
              </w:rPr>
              <w:t>fabricación de semiconductores.</w:t>
            </w:r>
          </w:p>
        </w:tc>
      </w:tr>
      <w:tr w:rsidR="005F42BC" w:rsidRPr="001E2FFE" w:rsidTr="00F24955">
        <w:trPr>
          <w:trHeight w:val="698"/>
        </w:trPr>
        <w:tc>
          <w:tcPr>
            <w:tcW w:w="3605" w:type="dxa"/>
            <w:vAlign w:val="center"/>
          </w:tcPr>
          <w:p w:rsidR="005F42BC" w:rsidRPr="00577F20" w:rsidRDefault="005F42BC" w:rsidP="00F24955">
            <w:pPr>
              <w:pStyle w:val="Prrafodelista"/>
              <w:spacing w:after="0" w:line="276" w:lineRule="auto"/>
              <w:ind w:left="0"/>
              <w:rPr>
                <w:rFonts w:cs="Arial"/>
                <w:sz w:val="20"/>
                <w:szCs w:val="20"/>
                <w:lang w:val="es-ES"/>
              </w:rPr>
            </w:pPr>
            <w:r w:rsidRPr="00577F20">
              <w:rPr>
                <w:rFonts w:cs="Arial"/>
                <w:sz w:val="20"/>
                <w:szCs w:val="20"/>
                <w:lang w:val="es-ES"/>
              </w:rPr>
              <w:t>Hexafluoruro de azufre (SF</w:t>
            </w:r>
            <w:r w:rsidRPr="00577F20">
              <w:rPr>
                <w:rFonts w:cs="Arial"/>
                <w:sz w:val="20"/>
                <w:szCs w:val="20"/>
                <w:vertAlign w:val="subscript"/>
                <w:lang w:val="es-ES"/>
              </w:rPr>
              <w:t>6</w:t>
            </w:r>
            <w:r w:rsidRPr="00577F20">
              <w:rPr>
                <w:rFonts w:cs="Arial"/>
                <w:sz w:val="20"/>
                <w:szCs w:val="20"/>
                <w:lang w:val="es-ES"/>
              </w:rPr>
              <w:t>)</w:t>
            </w:r>
          </w:p>
        </w:tc>
        <w:tc>
          <w:tcPr>
            <w:tcW w:w="6169" w:type="dxa"/>
            <w:vAlign w:val="center"/>
          </w:tcPr>
          <w:p w:rsidR="005F42BC" w:rsidRPr="00577F20" w:rsidRDefault="005F42BC" w:rsidP="00F24955">
            <w:pPr>
              <w:pStyle w:val="Prrafodelista"/>
              <w:spacing w:after="0" w:line="276" w:lineRule="auto"/>
              <w:ind w:left="0"/>
              <w:jc w:val="both"/>
              <w:rPr>
                <w:rFonts w:cs="Arial"/>
                <w:sz w:val="20"/>
                <w:szCs w:val="20"/>
                <w:lang w:val="es-ES"/>
              </w:rPr>
            </w:pPr>
            <w:r w:rsidRPr="00577F20">
              <w:rPr>
                <w:rFonts w:cs="Arial"/>
                <w:sz w:val="20"/>
                <w:szCs w:val="20"/>
                <w:lang w:val="es-ES"/>
              </w:rPr>
              <w:t>Aislamiento de equipos de alto voltaje y como ayuda para la fabricación de sistemas de enfriamiento de cables.</w:t>
            </w:r>
          </w:p>
        </w:tc>
      </w:tr>
    </w:tbl>
    <w:p w:rsidR="00C571A3" w:rsidRDefault="00C571A3">
      <w:pPr>
        <w:rPr>
          <w:rFonts w:ascii="Arial" w:hAnsi="Arial" w:cs="Arial"/>
        </w:rPr>
      </w:pPr>
    </w:p>
    <w:p w:rsidR="00BA5EDA" w:rsidRDefault="008553FC" w:rsidP="000A26CD">
      <w:pPr>
        <w:jc w:val="both"/>
        <w:rPr>
          <w:sz w:val="24"/>
          <w:szCs w:val="24"/>
        </w:rPr>
      </w:pPr>
      <w:r w:rsidRPr="008553FC">
        <w:rPr>
          <w:rFonts w:cs="Arial"/>
          <w:sz w:val="24"/>
          <w:szCs w:val="24"/>
        </w:rPr>
        <w:t>Una vez obtenido el In</w:t>
      </w:r>
      <w:r w:rsidR="00F24955">
        <w:rPr>
          <w:rFonts w:cs="Arial"/>
          <w:sz w:val="24"/>
          <w:szCs w:val="24"/>
        </w:rPr>
        <w:t>ventario base de GEI, se trabajó</w:t>
      </w:r>
      <w:r w:rsidRPr="008553FC">
        <w:rPr>
          <w:rFonts w:cs="Arial"/>
          <w:sz w:val="24"/>
          <w:szCs w:val="24"/>
        </w:rPr>
        <w:t xml:space="preserve"> en el Plan de Acción</w:t>
      </w:r>
      <w:r w:rsidR="000A26CD">
        <w:rPr>
          <w:rFonts w:cs="Arial"/>
          <w:sz w:val="24"/>
          <w:szCs w:val="24"/>
        </w:rPr>
        <w:t xml:space="preserve"> Climática (PLAC), el cual</w:t>
      </w:r>
      <w:r w:rsidR="000A26CD">
        <w:rPr>
          <w:sz w:val="24"/>
          <w:szCs w:val="24"/>
        </w:rPr>
        <w:t xml:space="preserve"> constituye</w:t>
      </w:r>
      <w:r w:rsidRPr="008553FC">
        <w:rPr>
          <w:sz w:val="24"/>
          <w:szCs w:val="24"/>
        </w:rPr>
        <w:t xml:space="preserve"> una herramienta fundamental de análisis y planificación de políticas y medidas de mitigación y adaptación al cambio climático.</w:t>
      </w:r>
    </w:p>
    <w:p w:rsidR="00BA5EDA" w:rsidRPr="00BA5EDA" w:rsidRDefault="00BA5EDA" w:rsidP="00BA5EDA">
      <w:pPr>
        <w:spacing w:before="120"/>
        <w:ind w:left="20"/>
        <w:jc w:val="both"/>
        <w:rPr>
          <w:sz w:val="24"/>
          <w:szCs w:val="24"/>
        </w:rPr>
      </w:pPr>
      <w:r w:rsidRPr="00BA5EDA">
        <w:rPr>
          <w:sz w:val="24"/>
          <w:szCs w:val="24"/>
        </w:rPr>
        <w:lastRenderedPageBreak/>
        <w:br/>
      </w:r>
      <w:r w:rsidR="00AE1AA3" w:rsidRPr="00AE1AA3">
        <w:rPr>
          <w:sz w:val="24"/>
          <w:szCs w:val="24"/>
        </w:rPr>
        <w:t>Se define</w:t>
      </w:r>
      <w:r w:rsidRPr="00AE1AA3">
        <w:rPr>
          <w:sz w:val="24"/>
          <w:szCs w:val="24"/>
        </w:rPr>
        <w:t xml:space="preserve"> Adaptación al cambio climático como “Proceso de ajuste al clima real o proyectado y</w:t>
      </w:r>
      <w:r w:rsidRPr="00AE1AA3">
        <w:rPr>
          <w:sz w:val="24"/>
          <w:szCs w:val="24"/>
        </w:rPr>
        <w:br/>
        <w:t>sus efectos. En los sistemas humanos, la adaptación trata de moderar o evitarlos daños o aprovechar las oportunidades beneficiosas. En algunos sistemasnaturales, la intervención humana puede facilitar el ajuste al clima proyectado ya sus efectos.”</w:t>
      </w:r>
    </w:p>
    <w:p w:rsidR="008553FC" w:rsidRPr="000A26CD" w:rsidRDefault="008553FC" w:rsidP="000A26CD">
      <w:pPr>
        <w:jc w:val="both"/>
        <w:rPr>
          <w:rFonts w:cs="Arial"/>
          <w:sz w:val="24"/>
          <w:szCs w:val="24"/>
          <w:lang w:val="es-ES"/>
        </w:rPr>
      </w:pPr>
      <w:r w:rsidRPr="008553FC">
        <w:rPr>
          <w:sz w:val="24"/>
          <w:szCs w:val="24"/>
        </w:rPr>
        <w:t>Las estrategias de adaptación al cambio climático parten de un análisis de los riesgos de la comunidad a los cambios en las variables climáticas y las proyecciones a largo plazo para la región. En base al análisis de los posibles impactos y teniendo en cuenta las características de la ciudad y/o región, se definen las medidas que permitan atenuar los daños o incluso beneficiarse de las oportunidades asociadas al cambio climático.</w:t>
      </w:r>
    </w:p>
    <w:p w:rsidR="00BA5EDA" w:rsidRPr="00AE1AA3" w:rsidRDefault="00577D3D" w:rsidP="00AE1AA3">
      <w:pPr>
        <w:spacing w:before="120"/>
        <w:ind w:left="20"/>
        <w:jc w:val="both"/>
        <w:rPr>
          <w:rStyle w:val="fontstyle21"/>
          <w:rFonts w:asciiTheme="minorHAnsi" w:hAnsiTheme="minorHAnsi" w:cstheme="minorBidi"/>
          <w:color w:val="auto"/>
          <w:sz w:val="24"/>
          <w:szCs w:val="24"/>
        </w:rPr>
      </w:pPr>
      <w:r w:rsidRPr="008553FC">
        <w:rPr>
          <w:sz w:val="24"/>
          <w:szCs w:val="24"/>
        </w:rPr>
        <w:t>Por su parte, la definición de una meta de mitigación es un pilar fundamental de los PLAC</w:t>
      </w:r>
      <w:r>
        <w:rPr>
          <w:sz w:val="24"/>
          <w:szCs w:val="24"/>
        </w:rPr>
        <w:t xml:space="preserve">. </w:t>
      </w:r>
      <w:r w:rsidR="00AE1AA3">
        <w:rPr>
          <w:sz w:val="24"/>
          <w:szCs w:val="24"/>
        </w:rPr>
        <w:t xml:space="preserve">Las acciones de </w:t>
      </w:r>
      <w:r w:rsidR="00BA5EDA" w:rsidRPr="00AE1AA3">
        <w:rPr>
          <w:rStyle w:val="fontstyle21"/>
          <w:rFonts w:asciiTheme="minorHAnsi" w:hAnsiTheme="minorHAnsi" w:cstheme="minorHAnsi"/>
          <w:sz w:val="24"/>
          <w:szCs w:val="24"/>
        </w:rPr>
        <w:t>Mitigación de los G</w:t>
      </w:r>
      <w:r w:rsidR="00AE1AA3" w:rsidRPr="00AE1AA3">
        <w:rPr>
          <w:rStyle w:val="fontstyle21"/>
          <w:rFonts w:asciiTheme="minorHAnsi" w:hAnsiTheme="minorHAnsi" w:cstheme="minorHAnsi"/>
          <w:sz w:val="24"/>
          <w:szCs w:val="24"/>
        </w:rPr>
        <w:t>.</w:t>
      </w:r>
      <w:r w:rsidR="00BA5EDA" w:rsidRPr="00AE1AA3">
        <w:rPr>
          <w:rStyle w:val="fontstyle21"/>
          <w:rFonts w:asciiTheme="minorHAnsi" w:hAnsiTheme="minorHAnsi" w:cstheme="minorHAnsi"/>
          <w:sz w:val="24"/>
          <w:szCs w:val="24"/>
        </w:rPr>
        <w:t>E</w:t>
      </w:r>
      <w:r w:rsidR="00AE1AA3" w:rsidRPr="00AE1AA3">
        <w:rPr>
          <w:rStyle w:val="fontstyle21"/>
          <w:rFonts w:asciiTheme="minorHAnsi" w:hAnsiTheme="minorHAnsi" w:cstheme="minorHAnsi"/>
          <w:sz w:val="24"/>
          <w:szCs w:val="24"/>
        </w:rPr>
        <w:t>.</w:t>
      </w:r>
      <w:r w:rsidR="00BA5EDA" w:rsidRPr="00AE1AA3">
        <w:rPr>
          <w:rStyle w:val="fontstyle21"/>
          <w:rFonts w:asciiTheme="minorHAnsi" w:hAnsiTheme="minorHAnsi" w:cstheme="minorHAnsi"/>
          <w:sz w:val="24"/>
          <w:szCs w:val="24"/>
        </w:rPr>
        <w:t>I es “</w:t>
      </w:r>
      <w:r w:rsidR="00AE1AA3" w:rsidRPr="00AE1AA3">
        <w:rPr>
          <w:rStyle w:val="fontstyle21"/>
          <w:rFonts w:asciiTheme="minorHAnsi" w:hAnsiTheme="minorHAnsi" w:cstheme="minorHAnsi"/>
          <w:sz w:val="24"/>
          <w:szCs w:val="24"/>
        </w:rPr>
        <w:t xml:space="preserve">la </w:t>
      </w:r>
      <w:r w:rsidR="00BA5EDA" w:rsidRPr="00AE1AA3">
        <w:rPr>
          <w:rStyle w:val="fontstyle21"/>
          <w:rFonts w:asciiTheme="minorHAnsi" w:hAnsiTheme="minorHAnsi" w:cstheme="minorHAnsi"/>
          <w:sz w:val="24"/>
          <w:szCs w:val="24"/>
        </w:rPr>
        <w:t>Intervención</w:t>
      </w:r>
      <w:r w:rsidR="00AE1AA3" w:rsidRPr="00AE1AA3">
        <w:rPr>
          <w:rStyle w:val="fontstyle21"/>
          <w:rFonts w:asciiTheme="minorHAnsi" w:hAnsiTheme="minorHAnsi" w:cstheme="minorHAnsi"/>
          <w:sz w:val="24"/>
          <w:szCs w:val="24"/>
        </w:rPr>
        <w:t xml:space="preserve"> </w:t>
      </w:r>
      <w:r w:rsidR="00BA5EDA" w:rsidRPr="00AE1AA3">
        <w:rPr>
          <w:rStyle w:val="fontstyle21"/>
          <w:rFonts w:asciiTheme="minorHAnsi" w:hAnsiTheme="minorHAnsi" w:cstheme="minorHAnsi"/>
          <w:sz w:val="24"/>
          <w:szCs w:val="24"/>
        </w:rPr>
        <w:t>humana encaminada a reducir las fuentes o</w:t>
      </w:r>
      <w:r w:rsidR="00BA5EDA" w:rsidRPr="00AE1AA3">
        <w:rPr>
          <w:rFonts w:cstheme="minorHAnsi"/>
          <w:color w:val="000000"/>
          <w:sz w:val="24"/>
          <w:szCs w:val="24"/>
        </w:rPr>
        <w:br/>
      </w:r>
      <w:r w:rsidR="00BA5EDA" w:rsidRPr="00AE1AA3">
        <w:rPr>
          <w:rStyle w:val="fontstyle21"/>
          <w:rFonts w:asciiTheme="minorHAnsi" w:hAnsiTheme="minorHAnsi" w:cstheme="minorHAnsi"/>
          <w:sz w:val="24"/>
          <w:szCs w:val="24"/>
        </w:rPr>
        <w:t>potenciar los sumideros de gases de efecto invernadero.”</w:t>
      </w:r>
    </w:p>
    <w:p w:rsidR="008553FC" w:rsidRDefault="008553FC" w:rsidP="008553FC">
      <w:pPr>
        <w:spacing w:before="120"/>
        <w:ind w:left="20"/>
        <w:jc w:val="both"/>
        <w:rPr>
          <w:sz w:val="24"/>
          <w:szCs w:val="24"/>
        </w:rPr>
      </w:pPr>
      <w:r w:rsidRPr="008553FC">
        <w:rPr>
          <w:sz w:val="24"/>
          <w:szCs w:val="24"/>
        </w:rPr>
        <w:t>Esta es generalmente expresada como un porcentaje de reducción respecto a las emisiones reales o proyectadas bajo un escenario tende</w:t>
      </w:r>
      <w:r w:rsidR="00577D3D">
        <w:rPr>
          <w:sz w:val="24"/>
          <w:szCs w:val="24"/>
        </w:rPr>
        <w:t>ncial o BAU (“Business as usual”</w:t>
      </w:r>
      <w:r w:rsidRPr="008553FC">
        <w:rPr>
          <w:sz w:val="24"/>
          <w:szCs w:val="24"/>
        </w:rPr>
        <w:t>) en un año dado. Para alcanzar esta meta, se definen diversas medidas de mitigación, acompañadas de los recursos necesarios para implementarlas y sus respectivos cronogramas.</w:t>
      </w:r>
    </w:p>
    <w:p w:rsidR="008553FC" w:rsidRPr="000A26CD" w:rsidRDefault="008553FC" w:rsidP="000A26CD">
      <w:pPr>
        <w:spacing w:before="120"/>
        <w:jc w:val="both"/>
        <w:rPr>
          <w:sz w:val="24"/>
          <w:szCs w:val="24"/>
        </w:rPr>
      </w:pPr>
      <w:r w:rsidRPr="008553FC">
        <w:rPr>
          <w:sz w:val="24"/>
          <w:szCs w:val="24"/>
        </w:rPr>
        <w:t>Ambas estrategias, mitigación y adaptación, integran el Plan de Acción frente al Cambio Climático hacia un mejoramiento ambiental, pero por sobre todo hacia una mejor calidad de vida para los ciudadanos.</w:t>
      </w:r>
    </w:p>
    <w:p w:rsidR="006D45BE" w:rsidRDefault="000A26CD" w:rsidP="000A26CD">
      <w:pPr>
        <w:jc w:val="center"/>
      </w:pPr>
      <w:r>
        <w:rPr>
          <w:noProof/>
          <w:lang w:val="es-ES" w:eastAsia="es-ES"/>
        </w:rPr>
        <w:drawing>
          <wp:inline distT="0" distB="0" distL="0" distR="0">
            <wp:extent cx="2436729" cy="3421380"/>
            <wp:effectExtent l="76200" t="76200" r="116205" b="1219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l="34827" t="6888" r="36201" b="20663"/>
                    <a:stretch>
                      <a:fillRect/>
                    </a:stretch>
                  </pic:blipFill>
                  <pic:spPr bwMode="auto">
                    <a:xfrm>
                      <a:off x="0" y="0"/>
                      <a:ext cx="2443316" cy="343062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77D3D" w:rsidRPr="00AE1AA3" w:rsidRDefault="00577D3D" w:rsidP="00577D3D">
      <w:pPr>
        <w:jc w:val="both"/>
        <w:rPr>
          <w:sz w:val="24"/>
        </w:rPr>
      </w:pPr>
      <w:r w:rsidRPr="00AE1AA3">
        <w:rPr>
          <w:sz w:val="24"/>
        </w:rPr>
        <w:t xml:space="preserve">La Municipalidad de Malargüe a través de su Plan Local de acción Climática persigue dos objetivos íntimamente relacionados. </w:t>
      </w:r>
    </w:p>
    <w:p w:rsidR="00577D3D" w:rsidRPr="00AE1AA3" w:rsidRDefault="00577D3D" w:rsidP="00577D3D">
      <w:pPr>
        <w:pStyle w:val="Prrafodelista"/>
        <w:numPr>
          <w:ilvl w:val="0"/>
          <w:numId w:val="2"/>
        </w:numPr>
        <w:jc w:val="both"/>
        <w:rPr>
          <w:sz w:val="24"/>
        </w:rPr>
      </w:pPr>
      <w:r w:rsidRPr="00AE1AA3">
        <w:rPr>
          <w:sz w:val="24"/>
        </w:rPr>
        <w:t>Disminuir las emisiones de gases de efecto invernadero a la atmósfera, contribuyendo a desacelerar el ritmo del fenómeno, a través de diferentes acciones de mitigación coordinadas y planificadas (uso eficiente de recursos, uso de energías limpias, etc.)</w:t>
      </w:r>
    </w:p>
    <w:p w:rsidR="00577D3D" w:rsidRPr="00AE1AA3" w:rsidRDefault="00577D3D" w:rsidP="00577D3D">
      <w:pPr>
        <w:pStyle w:val="Prrafodelista"/>
        <w:numPr>
          <w:ilvl w:val="0"/>
          <w:numId w:val="2"/>
        </w:numPr>
        <w:jc w:val="both"/>
        <w:rPr>
          <w:sz w:val="24"/>
        </w:rPr>
      </w:pPr>
      <w:r w:rsidRPr="00AE1AA3">
        <w:rPr>
          <w:sz w:val="24"/>
        </w:rPr>
        <w:t xml:space="preserve">Realizar las acciones de adaptación necesarias para lograr una población más </w:t>
      </w:r>
      <w:proofErr w:type="spellStart"/>
      <w:r w:rsidRPr="00AE1AA3">
        <w:rPr>
          <w:sz w:val="24"/>
        </w:rPr>
        <w:t>resiliente</w:t>
      </w:r>
      <w:proofErr w:type="spellEnd"/>
      <w:r w:rsidRPr="00AE1AA3">
        <w:rPr>
          <w:sz w:val="24"/>
        </w:rPr>
        <w:t xml:space="preserve"> y menos vulnerable a los posibles desastres climáticos (aumento de la temperatura media anual y media mínima, olas de calor, disminución de las precipitaciones y un incremento de la racha seca en el futuro cercano. </w:t>
      </w:r>
    </w:p>
    <w:p w:rsidR="00577D3D" w:rsidRDefault="00577D3D" w:rsidP="00577D3D">
      <w:pPr>
        <w:jc w:val="both"/>
        <w:rPr>
          <w:sz w:val="24"/>
        </w:rPr>
      </w:pPr>
      <w:r w:rsidRPr="00AE1AA3">
        <w:rPr>
          <w:sz w:val="24"/>
        </w:rPr>
        <w:lastRenderedPageBreak/>
        <w:t>Es responsabilidad de la gestión pública concientizar a la población, planificar y ejecutar las medidas necesarias para mitigar y adaptarse al cambio climático y es justamente el Plan de Acción Climática Local la herramienta más apta para llevar a cabo dichas acciones.</w:t>
      </w:r>
    </w:p>
    <w:p w:rsidR="00AE1AA3" w:rsidRPr="00A708BF" w:rsidRDefault="00AE1AA3" w:rsidP="00577D3D">
      <w:pPr>
        <w:jc w:val="both"/>
        <w:rPr>
          <w:sz w:val="24"/>
        </w:rPr>
      </w:pPr>
      <w:r>
        <w:rPr>
          <w:sz w:val="24"/>
        </w:rPr>
        <w:t>Para mayor información podes comunicarte con la Coordinación Ambiental a los siguientes teléfonos; 2604470022 – 2604632611 o personalmente en Batallón Nueva Creación Nº 462.</w:t>
      </w:r>
    </w:p>
    <w:sectPr w:rsidR="00AE1AA3" w:rsidRPr="00A708BF" w:rsidSect="006D45B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A6A6F"/>
    <w:multiLevelType w:val="hybridMultilevel"/>
    <w:tmpl w:val="C880721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74B68A7"/>
    <w:multiLevelType w:val="hybridMultilevel"/>
    <w:tmpl w:val="AC5E47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01B36"/>
    <w:rsid w:val="000A26CD"/>
    <w:rsid w:val="000A5E26"/>
    <w:rsid w:val="001B2F61"/>
    <w:rsid w:val="001E2FFE"/>
    <w:rsid w:val="001F3A4B"/>
    <w:rsid w:val="001F5D29"/>
    <w:rsid w:val="00457731"/>
    <w:rsid w:val="00577D3D"/>
    <w:rsid w:val="00577F20"/>
    <w:rsid w:val="00586630"/>
    <w:rsid w:val="005C023C"/>
    <w:rsid w:val="005F42BC"/>
    <w:rsid w:val="006B0866"/>
    <w:rsid w:val="006D45BE"/>
    <w:rsid w:val="008553FC"/>
    <w:rsid w:val="00A44A82"/>
    <w:rsid w:val="00A708BF"/>
    <w:rsid w:val="00A80ED5"/>
    <w:rsid w:val="00AE1AA3"/>
    <w:rsid w:val="00AF394F"/>
    <w:rsid w:val="00B01B36"/>
    <w:rsid w:val="00B03162"/>
    <w:rsid w:val="00B53F8E"/>
    <w:rsid w:val="00B70293"/>
    <w:rsid w:val="00BA5EDA"/>
    <w:rsid w:val="00C057D8"/>
    <w:rsid w:val="00C571A3"/>
    <w:rsid w:val="00CA369E"/>
    <w:rsid w:val="00CA72F2"/>
    <w:rsid w:val="00E529CD"/>
    <w:rsid w:val="00E547CD"/>
    <w:rsid w:val="00E84084"/>
    <w:rsid w:val="00F16ACE"/>
    <w:rsid w:val="00F2495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36"/>
    <w:pPr>
      <w:spacing w:after="160" w:line="259"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1B36"/>
    <w:pPr>
      <w:ind w:left="720"/>
      <w:contextualSpacing/>
    </w:pPr>
  </w:style>
  <w:style w:type="table" w:styleId="Tablaconcuadrcula">
    <w:name w:val="Table Grid"/>
    <w:basedOn w:val="Tablanormal"/>
    <w:uiPriority w:val="39"/>
    <w:rsid w:val="00B01B3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01B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1B36"/>
    <w:rPr>
      <w:rFonts w:ascii="Tahoma" w:hAnsi="Tahoma" w:cs="Tahoma"/>
      <w:sz w:val="16"/>
      <w:szCs w:val="16"/>
      <w:lang w:val="es-AR"/>
    </w:rPr>
  </w:style>
  <w:style w:type="character" w:customStyle="1" w:styleId="fontstyle01">
    <w:name w:val="fontstyle01"/>
    <w:basedOn w:val="Fuentedeprrafopredeter"/>
    <w:rsid w:val="00BA5EDA"/>
    <w:rPr>
      <w:rFonts w:ascii="Arial" w:hAnsi="Arial" w:cs="Arial" w:hint="default"/>
      <w:b/>
      <w:bCs/>
      <w:i w:val="0"/>
      <w:iCs w:val="0"/>
      <w:color w:val="000000"/>
      <w:sz w:val="32"/>
      <w:szCs w:val="32"/>
    </w:rPr>
  </w:style>
  <w:style w:type="character" w:customStyle="1" w:styleId="fontstyle21">
    <w:name w:val="fontstyle21"/>
    <w:basedOn w:val="Fuentedeprrafopredeter"/>
    <w:rsid w:val="00BA5EDA"/>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BA5EDA"/>
    <w:rPr>
      <w:rFonts w:ascii="Times New Roman" w:hAnsi="Times New Roman" w:cs="Times New Roman"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FA457-3264-445B-9500-79B0705B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5523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MARTON 2019</dc:creator>
  <cp:lastModifiedBy>Equipo</cp:lastModifiedBy>
  <cp:revision>2</cp:revision>
  <dcterms:created xsi:type="dcterms:W3CDTF">2020-03-20T15:15:00Z</dcterms:created>
  <dcterms:modified xsi:type="dcterms:W3CDTF">2020-03-20T15:15:00Z</dcterms:modified>
</cp:coreProperties>
</file>